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8DC2E" w14:textId="47D90D7E" w:rsidR="009C7F52" w:rsidRPr="00396493" w:rsidRDefault="009C7F52" w:rsidP="00FD1DCC">
      <w:pPr>
        <w:pStyle w:val="Default"/>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396493">
        <w:t xml:space="preserve">Lisa </w:t>
      </w:r>
      <w:r w:rsidR="00ED252C">
        <w:t>nr.</w:t>
      </w:r>
      <w:r w:rsidR="00B519BE">
        <w:t>3</w:t>
      </w:r>
    </w:p>
    <w:p w14:paraId="57F3A780" w14:textId="77777777" w:rsidR="009C7F52" w:rsidRDefault="009C7F52" w:rsidP="00FD1DCC">
      <w:pPr>
        <w:pStyle w:val="Default"/>
        <w:rPr>
          <w:b/>
          <w:bCs/>
          <w:sz w:val="28"/>
          <w:szCs w:val="28"/>
        </w:rPr>
      </w:pPr>
    </w:p>
    <w:p w14:paraId="42298F65" w14:textId="77777777" w:rsidR="009C7F52" w:rsidRDefault="009C7F52" w:rsidP="00FD1DCC">
      <w:pPr>
        <w:pStyle w:val="Default"/>
        <w:rPr>
          <w:b/>
          <w:bCs/>
          <w:sz w:val="28"/>
          <w:szCs w:val="28"/>
        </w:rPr>
      </w:pPr>
    </w:p>
    <w:p w14:paraId="6FA871E7" w14:textId="77777777" w:rsidR="009C7F52" w:rsidRDefault="009C7F52" w:rsidP="00FD1DCC">
      <w:pPr>
        <w:pStyle w:val="Default"/>
        <w:rPr>
          <w:b/>
          <w:bCs/>
          <w:sz w:val="28"/>
          <w:szCs w:val="28"/>
        </w:rPr>
      </w:pPr>
    </w:p>
    <w:p w14:paraId="5E1308F6" w14:textId="77777777" w:rsidR="009C7F52" w:rsidRDefault="009C7F52" w:rsidP="00FD1DCC">
      <w:pPr>
        <w:pStyle w:val="Default"/>
        <w:rPr>
          <w:b/>
          <w:bCs/>
          <w:sz w:val="28"/>
          <w:szCs w:val="28"/>
        </w:rPr>
      </w:pPr>
    </w:p>
    <w:p w14:paraId="32599186" w14:textId="77777777" w:rsidR="00250378" w:rsidRDefault="00250378" w:rsidP="00D42B5E">
      <w:pPr>
        <w:pStyle w:val="Default"/>
        <w:jc w:val="center"/>
        <w:rPr>
          <w:b/>
          <w:bCs/>
          <w:sz w:val="72"/>
          <w:szCs w:val="72"/>
        </w:rPr>
      </w:pPr>
    </w:p>
    <w:p w14:paraId="2C502297" w14:textId="6262DA4E" w:rsidR="00250378" w:rsidRDefault="00264186" w:rsidP="00D42B5E">
      <w:pPr>
        <w:pStyle w:val="Default"/>
        <w:jc w:val="center"/>
        <w:rPr>
          <w:b/>
          <w:bCs/>
          <w:sz w:val="72"/>
          <w:szCs w:val="72"/>
        </w:rPr>
      </w:pPr>
      <w:r>
        <w:rPr>
          <w:b/>
          <w:bCs/>
          <w:noProof/>
          <w:sz w:val="72"/>
          <w:szCs w:val="72"/>
        </w:rPr>
        <w:drawing>
          <wp:inline distT="0" distB="0" distL="0" distR="0" wp14:anchorId="162A136E" wp14:editId="29E21C42">
            <wp:extent cx="2667000" cy="2286000"/>
            <wp:effectExtent l="0" t="0" r="0" b="0"/>
            <wp:docPr id="767318388"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286000"/>
                    </a:xfrm>
                    <a:prstGeom prst="rect">
                      <a:avLst/>
                    </a:prstGeom>
                    <a:noFill/>
                  </pic:spPr>
                </pic:pic>
              </a:graphicData>
            </a:graphic>
          </wp:inline>
        </w:drawing>
      </w:r>
    </w:p>
    <w:p w14:paraId="0C4E2C4C" w14:textId="77777777" w:rsidR="00250378" w:rsidRDefault="00250378" w:rsidP="00D42B5E">
      <w:pPr>
        <w:pStyle w:val="Default"/>
        <w:jc w:val="center"/>
        <w:rPr>
          <w:b/>
          <w:bCs/>
          <w:sz w:val="72"/>
          <w:szCs w:val="72"/>
        </w:rPr>
      </w:pPr>
    </w:p>
    <w:p w14:paraId="40718EE2" w14:textId="194BCEED" w:rsidR="00396493" w:rsidRDefault="00FD1DCC" w:rsidP="00D42B5E">
      <w:pPr>
        <w:pStyle w:val="Default"/>
        <w:jc w:val="center"/>
        <w:rPr>
          <w:b/>
          <w:bCs/>
          <w:sz w:val="72"/>
          <w:szCs w:val="72"/>
        </w:rPr>
      </w:pPr>
      <w:r w:rsidRPr="00396493">
        <w:rPr>
          <w:b/>
          <w:bCs/>
          <w:sz w:val="72"/>
          <w:szCs w:val="72"/>
        </w:rPr>
        <w:t>T</w:t>
      </w:r>
      <w:r w:rsidR="0050256D" w:rsidRPr="00396493">
        <w:rPr>
          <w:b/>
          <w:bCs/>
          <w:sz w:val="72"/>
          <w:szCs w:val="72"/>
        </w:rPr>
        <w:t>ARTU VALLA</w:t>
      </w:r>
      <w:r w:rsidRPr="00396493">
        <w:rPr>
          <w:b/>
          <w:bCs/>
          <w:sz w:val="72"/>
          <w:szCs w:val="72"/>
        </w:rPr>
        <w:t xml:space="preserve"> </w:t>
      </w:r>
    </w:p>
    <w:p w14:paraId="6B595C5B" w14:textId="77777777" w:rsidR="00396493" w:rsidRDefault="0050256D" w:rsidP="00D42B5E">
      <w:pPr>
        <w:pStyle w:val="Default"/>
        <w:jc w:val="center"/>
        <w:rPr>
          <w:b/>
          <w:bCs/>
          <w:sz w:val="72"/>
          <w:szCs w:val="72"/>
        </w:rPr>
      </w:pPr>
      <w:r w:rsidRPr="00396493">
        <w:rPr>
          <w:b/>
          <w:bCs/>
          <w:sz w:val="72"/>
          <w:szCs w:val="72"/>
        </w:rPr>
        <w:t>EELARVESTRATEEGIA</w:t>
      </w:r>
      <w:r w:rsidR="00396493" w:rsidRPr="00396493">
        <w:rPr>
          <w:b/>
          <w:bCs/>
          <w:sz w:val="72"/>
          <w:szCs w:val="72"/>
        </w:rPr>
        <w:t xml:space="preserve"> </w:t>
      </w:r>
    </w:p>
    <w:p w14:paraId="4BCC68F4" w14:textId="77777777" w:rsidR="00396493" w:rsidRDefault="00396493" w:rsidP="00D42B5E">
      <w:pPr>
        <w:pStyle w:val="Default"/>
        <w:jc w:val="center"/>
        <w:rPr>
          <w:b/>
          <w:bCs/>
          <w:sz w:val="72"/>
          <w:szCs w:val="72"/>
        </w:rPr>
      </w:pPr>
    </w:p>
    <w:p w14:paraId="0E217848" w14:textId="1EA1A78A" w:rsidR="00FD1DCC" w:rsidRPr="00396493" w:rsidRDefault="00396493" w:rsidP="00D42B5E">
      <w:pPr>
        <w:pStyle w:val="Default"/>
        <w:jc w:val="center"/>
        <w:rPr>
          <w:b/>
          <w:bCs/>
          <w:sz w:val="72"/>
          <w:szCs w:val="72"/>
        </w:rPr>
      </w:pPr>
      <w:r w:rsidRPr="00396493">
        <w:rPr>
          <w:b/>
          <w:bCs/>
          <w:sz w:val="72"/>
          <w:szCs w:val="72"/>
        </w:rPr>
        <w:t>AASTATEKS</w:t>
      </w:r>
      <w:r w:rsidR="00FD1DCC" w:rsidRPr="00396493">
        <w:rPr>
          <w:sz w:val="56"/>
          <w:szCs w:val="56"/>
        </w:rPr>
        <w:t xml:space="preserve"> </w:t>
      </w:r>
      <w:r w:rsidR="00AB528C" w:rsidRPr="00396493">
        <w:rPr>
          <w:b/>
          <w:bCs/>
          <w:sz w:val="72"/>
          <w:szCs w:val="72"/>
        </w:rPr>
        <w:t>202</w:t>
      </w:r>
      <w:r w:rsidR="00F66FDA">
        <w:rPr>
          <w:b/>
          <w:bCs/>
          <w:sz w:val="72"/>
          <w:szCs w:val="72"/>
        </w:rPr>
        <w:t>4</w:t>
      </w:r>
      <w:r w:rsidR="00AB528C" w:rsidRPr="00396493">
        <w:rPr>
          <w:b/>
          <w:bCs/>
          <w:sz w:val="72"/>
          <w:szCs w:val="72"/>
        </w:rPr>
        <w:t>-202</w:t>
      </w:r>
      <w:r w:rsidR="00F66FDA">
        <w:rPr>
          <w:b/>
          <w:bCs/>
          <w:sz w:val="72"/>
          <w:szCs w:val="72"/>
        </w:rPr>
        <w:t>8</w:t>
      </w:r>
    </w:p>
    <w:p w14:paraId="0D81A7A0" w14:textId="77777777" w:rsidR="00D42B5E" w:rsidRDefault="00D42B5E" w:rsidP="00FD1DCC">
      <w:pPr>
        <w:pStyle w:val="Default"/>
        <w:rPr>
          <w:b/>
          <w:bCs/>
          <w:sz w:val="28"/>
          <w:szCs w:val="28"/>
        </w:rPr>
      </w:pPr>
    </w:p>
    <w:p w14:paraId="580A7D49" w14:textId="77777777" w:rsidR="00D42B5E" w:rsidRDefault="00D42B5E" w:rsidP="00FD1DCC">
      <w:pPr>
        <w:pStyle w:val="Default"/>
        <w:rPr>
          <w:b/>
          <w:bCs/>
          <w:sz w:val="28"/>
          <w:szCs w:val="28"/>
        </w:rPr>
      </w:pPr>
    </w:p>
    <w:p w14:paraId="1D03994D" w14:textId="77777777" w:rsidR="00D42B5E" w:rsidRDefault="00D42B5E" w:rsidP="00FD1DCC">
      <w:pPr>
        <w:pStyle w:val="Default"/>
        <w:rPr>
          <w:b/>
          <w:bCs/>
          <w:sz w:val="28"/>
          <w:szCs w:val="28"/>
        </w:rPr>
      </w:pPr>
    </w:p>
    <w:p w14:paraId="26B06A30" w14:textId="77777777" w:rsidR="00D42B5E" w:rsidRDefault="00D42B5E" w:rsidP="00FD1DCC">
      <w:pPr>
        <w:pStyle w:val="Default"/>
        <w:rPr>
          <w:b/>
          <w:bCs/>
          <w:sz w:val="28"/>
          <w:szCs w:val="28"/>
        </w:rPr>
      </w:pPr>
    </w:p>
    <w:p w14:paraId="1C45D6D1" w14:textId="77777777" w:rsidR="00D42B5E" w:rsidRDefault="00D42B5E" w:rsidP="00FD1DCC">
      <w:pPr>
        <w:pStyle w:val="Default"/>
        <w:rPr>
          <w:b/>
          <w:bCs/>
          <w:sz w:val="28"/>
          <w:szCs w:val="28"/>
        </w:rPr>
      </w:pPr>
    </w:p>
    <w:p w14:paraId="7190B6B9" w14:textId="77777777" w:rsidR="00D42B5E" w:rsidRDefault="00D42B5E" w:rsidP="00FD1DCC">
      <w:pPr>
        <w:pStyle w:val="Default"/>
        <w:rPr>
          <w:b/>
          <w:bCs/>
          <w:sz w:val="28"/>
          <w:szCs w:val="28"/>
        </w:rPr>
      </w:pPr>
    </w:p>
    <w:p w14:paraId="4B2D5900" w14:textId="77777777" w:rsidR="00D42B5E" w:rsidRDefault="00D42B5E" w:rsidP="00FD1DCC">
      <w:pPr>
        <w:pStyle w:val="Default"/>
        <w:rPr>
          <w:b/>
          <w:bCs/>
          <w:sz w:val="28"/>
          <w:szCs w:val="28"/>
        </w:rPr>
      </w:pPr>
    </w:p>
    <w:p w14:paraId="401E571D" w14:textId="77777777" w:rsidR="00D42B5E" w:rsidRDefault="00D42B5E" w:rsidP="00FD1DCC">
      <w:pPr>
        <w:pStyle w:val="Default"/>
        <w:rPr>
          <w:b/>
          <w:bCs/>
          <w:sz w:val="28"/>
          <w:szCs w:val="28"/>
        </w:rPr>
      </w:pPr>
    </w:p>
    <w:p w14:paraId="23A01B63" w14:textId="77777777" w:rsidR="00D42B5E" w:rsidRDefault="00D42B5E" w:rsidP="00FD1DCC">
      <w:pPr>
        <w:pStyle w:val="Default"/>
        <w:rPr>
          <w:b/>
          <w:bCs/>
          <w:sz w:val="28"/>
          <w:szCs w:val="28"/>
        </w:rPr>
      </w:pPr>
    </w:p>
    <w:p w14:paraId="5EDEB8C7" w14:textId="77777777" w:rsidR="00D42B5E" w:rsidRDefault="00D42B5E" w:rsidP="00FD1DCC">
      <w:pPr>
        <w:pStyle w:val="Default"/>
        <w:rPr>
          <w:b/>
          <w:bCs/>
          <w:sz w:val="28"/>
          <w:szCs w:val="28"/>
        </w:rPr>
      </w:pPr>
    </w:p>
    <w:p w14:paraId="046E9FE5" w14:textId="77777777" w:rsidR="00D42B5E" w:rsidRDefault="00D42B5E" w:rsidP="00FD1DCC">
      <w:pPr>
        <w:pStyle w:val="Default"/>
        <w:rPr>
          <w:b/>
          <w:bCs/>
          <w:sz w:val="28"/>
          <w:szCs w:val="28"/>
        </w:rPr>
      </w:pPr>
    </w:p>
    <w:p w14:paraId="3CD45F82" w14:textId="77777777" w:rsidR="00D42B5E" w:rsidRDefault="00D42B5E" w:rsidP="00FD1DCC">
      <w:pPr>
        <w:pStyle w:val="Default"/>
        <w:rPr>
          <w:b/>
          <w:bCs/>
          <w:sz w:val="28"/>
          <w:szCs w:val="28"/>
        </w:rPr>
      </w:pPr>
    </w:p>
    <w:p w14:paraId="31B525AF" w14:textId="77777777" w:rsidR="00D42B5E" w:rsidRDefault="00D42B5E" w:rsidP="00FD1DCC">
      <w:pPr>
        <w:pStyle w:val="Default"/>
        <w:rPr>
          <w:b/>
          <w:bCs/>
          <w:sz w:val="28"/>
          <w:szCs w:val="28"/>
        </w:rPr>
      </w:pPr>
    </w:p>
    <w:p w14:paraId="2124E548" w14:textId="77777777" w:rsidR="00D42B5E" w:rsidRDefault="00D42B5E" w:rsidP="00FD1DCC">
      <w:pPr>
        <w:pStyle w:val="Default"/>
        <w:rPr>
          <w:b/>
          <w:bCs/>
          <w:sz w:val="28"/>
          <w:szCs w:val="28"/>
        </w:rPr>
      </w:pPr>
    </w:p>
    <w:p w14:paraId="0E2D240D" w14:textId="77777777" w:rsidR="00D42B5E" w:rsidRDefault="00D42B5E" w:rsidP="00FD1DCC">
      <w:pPr>
        <w:pStyle w:val="Default"/>
        <w:rPr>
          <w:b/>
          <w:bCs/>
          <w:sz w:val="28"/>
          <w:szCs w:val="28"/>
        </w:rPr>
      </w:pPr>
    </w:p>
    <w:sdt>
      <w:sdtPr>
        <w:id w:val="-64434526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7676B5C" w14:textId="78C9B25F" w:rsidR="007A0B58" w:rsidRDefault="007A0B58">
          <w:pPr>
            <w:pStyle w:val="Sisukorrapealkiri"/>
          </w:pPr>
          <w:r>
            <w:t>Sisukord</w:t>
          </w:r>
        </w:p>
        <w:p w14:paraId="556190E1" w14:textId="10B50F68" w:rsidR="007A0B58" w:rsidRDefault="007A0B58">
          <w:pPr>
            <w:pStyle w:val="SK1"/>
            <w:tabs>
              <w:tab w:val="left" w:pos="440"/>
              <w:tab w:val="right" w:leader="dot" w:pos="9062"/>
            </w:tabs>
            <w:rPr>
              <w:rFonts w:eastAsiaTheme="minorEastAsia"/>
              <w:noProof/>
              <w:kern w:val="2"/>
              <w:sz w:val="24"/>
              <w:szCs w:val="24"/>
              <w:lang w:eastAsia="et-EE"/>
              <w14:ligatures w14:val="standardContextual"/>
            </w:rPr>
          </w:pPr>
          <w:r>
            <w:fldChar w:fldCharType="begin"/>
          </w:r>
          <w:r>
            <w:instrText xml:space="preserve"> TOC \o "1-3" \h \z \u </w:instrText>
          </w:r>
          <w:r>
            <w:fldChar w:fldCharType="separate"/>
          </w:r>
          <w:hyperlink w:anchor="_Toc173767782" w:history="1">
            <w:r w:rsidRPr="002C2BF0">
              <w:rPr>
                <w:rStyle w:val="Hperlink"/>
                <w:b/>
                <w:bCs/>
                <w:noProof/>
              </w:rPr>
              <w:t>1.</w:t>
            </w:r>
            <w:r>
              <w:rPr>
                <w:rFonts w:eastAsiaTheme="minorEastAsia"/>
                <w:noProof/>
                <w:kern w:val="2"/>
                <w:sz w:val="24"/>
                <w:szCs w:val="24"/>
                <w:lang w:eastAsia="et-EE"/>
                <w14:ligatures w14:val="standardContextual"/>
              </w:rPr>
              <w:tab/>
            </w:r>
            <w:r w:rsidRPr="002C2BF0">
              <w:rPr>
                <w:rStyle w:val="Hperlink"/>
                <w:b/>
                <w:bCs/>
                <w:noProof/>
              </w:rPr>
              <w:t>Sissejuhatus</w:t>
            </w:r>
            <w:r>
              <w:rPr>
                <w:noProof/>
                <w:webHidden/>
              </w:rPr>
              <w:tab/>
            </w:r>
            <w:r>
              <w:rPr>
                <w:noProof/>
                <w:webHidden/>
              </w:rPr>
              <w:fldChar w:fldCharType="begin"/>
            </w:r>
            <w:r>
              <w:rPr>
                <w:noProof/>
                <w:webHidden/>
              </w:rPr>
              <w:instrText xml:space="preserve"> PAGEREF _Toc173767782 \h </w:instrText>
            </w:r>
            <w:r>
              <w:rPr>
                <w:noProof/>
                <w:webHidden/>
              </w:rPr>
            </w:r>
            <w:r>
              <w:rPr>
                <w:noProof/>
                <w:webHidden/>
              </w:rPr>
              <w:fldChar w:fldCharType="separate"/>
            </w:r>
            <w:r>
              <w:rPr>
                <w:noProof/>
                <w:webHidden/>
              </w:rPr>
              <w:t>3</w:t>
            </w:r>
            <w:r>
              <w:rPr>
                <w:noProof/>
                <w:webHidden/>
              </w:rPr>
              <w:fldChar w:fldCharType="end"/>
            </w:r>
          </w:hyperlink>
        </w:p>
        <w:p w14:paraId="1569C8C7" w14:textId="044AD17A" w:rsidR="007A0B58" w:rsidRDefault="007A0B58">
          <w:pPr>
            <w:pStyle w:val="SK2"/>
            <w:tabs>
              <w:tab w:val="left" w:pos="720"/>
              <w:tab w:val="right" w:leader="dot" w:pos="9062"/>
            </w:tabs>
            <w:rPr>
              <w:rFonts w:eastAsiaTheme="minorEastAsia"/>
              <w:noProof/>
              <w:kern w:val="2"/>
              <w:sz w:val="24"/>
              <w:szCs w:val="24"/>
              <w:lang w:eastAsia="et-EE"/>
              <w14:ligatures w14:val="standardContextual"/>
            </w:rPr>
          </w:pPr>
          <w:hyperlink w:anchor="_Toc173767785" w:history="1">
            <w:r w:rsidRPr="002C2BF0">
              <w:rPr>
                <w:rStyle w:val="Hperlink"/>
                <w:b/>
                <w:bCs/>
                <w:noProof/>
              </w:rPr>
              <w:t>2.</w:t>
            </w:r>
            <w:r>
              <w:rPr>
                <w:rFonts w:eastAsiaTheme="minorEastAsia"/>
                <w:noProof/>
                <w:kern w:val="2"/>
                <w:sz w:val="24"/>
                <w:szCs w:val="24"/>
                <w:lang w:eastAsia="et-EE"/>
                <w14:ligatures w14:val="standardContextual"/>
              </w:rPr>
              <w:tab/>
            </w:r>
            <w:r w:rsidRPr="002C2BF0">
              <w:rPr>
                <w:rStyle w:val="Hperlink"/>
                <w:b/>
                <w:bCs/>
                <w:noProof/>
              </w:rPr>
              <w:t>Ülevaade hetke majanduslikust olukorrast</w:t>
            </w:r>
            <w:r>
              <w:rPr>
                <w:noProof/>
                <w:webHidden/>
              </w:rPr>
              <w:tab/>
            </w:r>
            <w:r>
              <w:rPr>
                <w:noProof/>
                <w:webHidden/>
              </w:rPr>
              <w:fldChar w:fldCharType="begin"/>
            </w:r>
            <w:r>
              <w:rPr>
                <w:noProof/>
                <w:webHidden/>
              </w:rPr>
              <w:instrText xml:space="preserve"> PAGEREF _Toc173767785 \h </w:instrText>
            </w:r>
            <w:r>
              <w:rPr>
                <w:noProof/>
                <w:webHidden/>
              </w:rPr>
            </w:r>
            <w:r>
              <w:rPr>
                <w:noProof/>
                <w:webHidden/>
              </w:rPr>
              <w:fldChar w:fldCharType="separate"/>
            </w:r>
            <w:r>
              <w:rPr>
                <w:noProof/>
                <w:webHidden/>
              </w:rPr>
              <w:t>4</w:t>
            </w:r>
            <w:r>
              <w:rPr>
                <w:noProof/>
                <w:webHidden/>
              </w:rPr>
              <w:fldChar w:fldCharType="end"/>
            </w:r>
          </w:hyperlink>
        </w:p>
        <w:p w14:paraId="164839D6" w14:textId="55B64165" w:rsidR="007A0B58" w:rsidRDefault="007A0B58">
          <w:pPr>
            <w:pStyle w:val="SK2"/>
            <w:tabs>
              <w:tab w:val="left" w:pos="720"/>
              <w:tab w:val="right" w:leader="dot" w:pos="9062"/>
            </w:tabs>
            <w:rPr>
              <w:rFonts w:eastAsiaTheme="minorEastAsia"/>
              <w:noProof/>
              <w:kern w:val="2"/>
              <w:sz w:val="24"/>
              <w:szCs w:val="24"/>
              <w:lang w:eastAsia="et-EE"/>
              <w14:ligatures w14:val="standardContextual"/>
            </w:rPr>
          </w:pPr>
          <w:hyperlink w:anchor="_Toc173767786" w:history="1">
            <w:r w:rsidRPr="002C2BF0">
              <w:rPr>
                <w:rStyle w:val="Hperlink"/>
                <w:b/>
                <w:bCs/>
                <w:noProof/>
              </w:rPr>
              <w:t>3.</w:t>
            </w:r>
            <w:r>
              <w:rPr>
                <w:rFonts w:eastAsiaTheme="minorEastAsia"/>
                <w:noProof/>
                <w:kern w:val="2"/>
                <w:sz w:val="24"/>
                <w:szCs w:val="24"/>
                <w:lang w:eastAsia="et-EE"/>
                <w14:ligatures w14:val="standardContextual"/>
              </w:rPr>
              <w:tab/>
            </w:r>
            <w:r w:rsidRPr="002C2BF0">
              <w:rPr>
                <w:rStyle w:val="Hperlink"/>
                <w:b/>
                <w:bCs/>
                <w:noProof/>
              </w:rPr>
              <w:t>Tartu valla sotsiaalmajanduslik olukord</w:t>
            </w:r>
            <w:r>
              <w:rPr>
                <w:noProof/>
                <w:webHidden/>
              </w:rPr>
              <w:tab/>
            </w:r>
            <w:r>
              <w:rPr>
                <w:noProof/>
                <w:webHidden/>
              </w:rPr>
              <w:fldChar w:fldCharType="begin"/>
            </w:r>
            <w:r>
              <w:rPr>
                <w:noProof/>
                <w:webHidden/>
              </w:rPr>
              <w:instrText xml:space="preserve"> PAGEREF _Toc173767786 \h </w:instrText>
            </w:r>
            <w:r>
              <w:rPr>
                <w:noProof/>
                <w:webHidden/>
              </w:rPr>
            </w:r>
            <w:r>
              <w:rPr>
                <w:noProof/>
                <w:webHidden/>
              </w:rPr>
              <w:fldChar w:fldCharType="separate"/>
            </w:r>
            <w:r>
              <w:rPr>
                <w:noProof/>
                <w:webHidden/>
              </w:rPr>
              <w:t>6</w:t>
            </w:r>
            <w:r>
              <w:rPr>
                <w:noProof/>
                <w:webHidden/>
              </w:rPr>
              <w:fldChar w:fldCharType="end"/>
            </w:r>
          </w:hyperlink>
        </w:p>
        <w:p w14:paraId="6BDF7B6A" w14:textId="4C764D69" w:rsidR="007A0B58" w:rsidRDefault="007A0B58">
          <w:pPr>
            <w:pStyle w:val="SK2"/>
            <w:tabs>
              <w:tab w:val="left" w:pos="720"/>
              <w:tab w:val="right" w:leader="dot" w:pos="9062"/>
            </w:tabs>
            <w:rPr>
              <w:rFonts w:eastAsiaTheme="minorEastAsia"/>
              <w:noProof/>
              <w:kern w:val="2"/>
              <w:sz w:val="24"/>
              <w:szCs w:val="24"/>
              <w:lang w:eastAsia="et-EE"/>
              <w14:ligatures w14:val="standardContextual"/>
            </w:rPr>
          </w:pPr>
          <w:hyperlink w:anchor="_Toc173767787" w:history="1">
            <w:r w:rsidRPr="002C2BF0">
              <w:rPr>
                <w:rStyle w:val="Hperlink"/>
                <w:b/>
                <w:bCs/>
                <w:noProof/>
              </w:rPr>
              <w:t>4.</w:t>
            </w:r>
            <w:r>
              <w:rPr>
                <w:rFonts w:eastAsiaTheme="minorEastAsia"/>
                <w:noProof/>
                <w:kern w:val="2"/>
                <w:sz w:val="24"/>
                <w:szCs w:val="24"/>
                <w:lang w:eastAsia="et-EE"/>
                <w14:ligatures w14:val="standardContextual"/>
              </w:rPr>
              <w:tab/>
            </w:r>
            <w:r w:rsidRPr="002C2BF0">
              <w:rPr>
                <w:rStyle w:val="Hperlink"/>
                <w:b/>
                <w:bCs/>
                <w:noProof/>
              </w:rPr>
              <w:t>Tulud</w:t>
            </w:r>
            <w:r>
              <w:rPr>
                <w:noProof/>
                <w:webHidden/>
              </w:rPr>
              <w:tab/>
            </w:r>
            <w:r>
              <w:rPr>
                <w:noProof/>
                <w:webHidden/>
              </w:rPr>
              <w:fldChar w:fldCharType="begin"/>
            </w:r>
            <w:r>
              <w:rPr>
                <w:noProof/>
                <w:webHidden/>
              </w:rPr>
              <w:instrText xml:space="preserve"> PAGEREF _Toc173767787 \h </w:instrText>
            </w:r>
            <w:r>
              <w:rPr>
                <w:noProof/>
                <w:webHidden/>
              </w:rPr>
            </w:r>
            <w:r>
              <w:rPr>
                <w:noProof/>
                <w:webHidden/>
              </w:rPr>
              <w:fldChar w:fldCharType="separate"/>
            </w:r>
            <w:r>
              <w:rPr>
                <w:noProof/>
                <w:webHidden/>
              </w:rPr>
              <w:t>8</w:t>
            </w:r>
            <w:r>
              <w:rPr>
                <w:noProof/>
                <w:webHidden/>
              </w:rPr>
              <w:fldChar w:fldCharType="end"/>
            </w:r>
          </w:hyperlink>
        </w:p>
        <w:p w14:paraId="778E85F1" w14:textId="1D596156" w:rsidR="007A0B58" w:rsidRDefault="007A0B58">
          <w:pPr>
            <w:pStyle w:val="SK2"/>
            <w:tabs>
              <w:tab w:val="left" w:pos="720"/>
              <w:tab w:val="right" w:leader="dot" w:pos="9062"/>
            </w:tabs>
            <w:rPr>
              <w:rFonts w:eastAsiaTheme="minorEastAsia"/>
              <w:noProof/>
              <w:kern w:val="2"/>
              <w:sz w:val="24"/>
              <w:szCs w:val="24"/>
              <w:lang w:eastAsia="et-EE"/>
              <w14:ligatures w14:val="standardContextual"/>
            </w:rPr>
          </w:pPr>
          <w:hyperlink w:anchor="_Toc173767788" w:history="1">
            <w:r w:rsidRPr="002C2BF0">
              <w:rPr>
                <w:rStyle w:val="Hperlink"/>
                <w:b/>
                <w:bCs/>
                <w:noProof/>
              </w:rPr>
              <w:t>5.</w:t>
            </w:r>
            <w:r>
              <w:rPr>
                <w:rFonts w:eastAsiaTheme="minorEastAsia"/>
                <w:noProof/>
                <w:kern w:val="2"/>
                <w:sz w:val="24"/>
                <w:szCs w:val="24"/>
                <w:lang w:eastAsia="et-EE"/>
                <w14:ligatures w14:val="standardContextual"/>
              </w:rPr>
              <w:tab/>
            </w:r>
            <w:r w:rsidRPr="002C2BF0">
              <w:rPr>
                <w:rStyle w:val="Hperlink"/>
                <w:b/>
                <w:bCs/>
                <w:noProof/>
              </w:rPr>
              <w:t>Kulud</w:t>
            </w:r>
            <w:r>
              <w:rPr>
                <w:noProof/>
                <w:webHidden/>
              </w:rPr>
              <w:tab/>
            </w:r>
            <w:r>
              <w:rPr>
                <w:noProof/>
                <w:webHidden/>
              </w:rPr>
              <w:fldChar w:fldCharType="begin"/>
            </w:r>
            <w:r>
              <w:rPr>
                <w:noProof/>
                <w:webHidden/>
              </w:rPr>
              <w:instrText xml:space="preserve"> PAGEREF _Toc173767788 \h </w:instrText>
            </w:r>
            <w:r>
              <w:rPr>
                <w:noProof/>
                <w:webHidden/>
              </w:rPr>
            </w:r>
            <w:r>
              <w:rPr>
                <w:noProof/>
                <w:webHidden/>
              </w:rPr>
              <w:fldChar w:fldCharType="separate"/>
            </w:r>
            <w:r>
              <w:rPr>
                <w:noProof/>
                <w:webHidden/>
              </w:rPr>
              <w:t>9</w:t>
            </w:r>
            <w:r>
              <w:rPr>
                <w:noProof/>
                <w:webHidden/>
              </w:rPr>
              <w:fldChar w:fldCharType="end"/>
            </w:r>
          </w:hyperlink>
        </w:p>
        <w:p w14:paraId="31B5793F" w14:textId="7ED95247" w:rsidR="007A0B58" w:rsidRDefault="007A0B58">
          <w:pPr>
            <w:pStyle w:val="SK2"/>
            <w:tabs>
              <w:tab w:val="left" w:pos="720"/>
              <w:tab w:val="right" w:leader="dot" w:pos="9062"/>
            </w:tabs>
            <w:rPr>
              <w:rFonts w:eastAsiaTheme="minorEastAsia"/>
              <w:noProof/>
              <w:kern w:val="2"/>
              <w:sz w:val="24"/>
              <w:szCs w:val="24"/>
              <w:lang w:eastAsia="et-EE"/>
              <w14:ligatures w14:val="standardContextual"/>
            </w:rPr>
          </w:pPr>
          <w:hyperlink w:anchor="_Toc173767789" w:history="1">
            <w:r w:rsidRPr="002C2BF0">
              <w:rPr>
                <w:rStyle w:val="Hperlink"/>
                <w:b/>
                <w:bCs/>
                <w:noProof/>
              </w:rPr>
              <w:t>6.</w:t>
            </w:r>
            <w:r>
              <w:rPr>
                <w:rFonts w:eastAsiaTheme="minorEastAsia"/>
                <w:noProof/>
                <w:kern w:val="2"/>
                <w:sz w:val="24"/>
                <w:szCs w:val="24"/>
                <w:lang w:eastAsia="et-EE"/>
                <w14:ligatures w14:val="standardContextual"/>
              </w:rPr>
              <w:tab/>
            </w:r>
            <w:r w:rsidRPr="002C2BF0">
              <w:rPr>
                <w:rStyle w:val="Hperlink"/>
                <w:b/>
                <w:bCs/>
                <w:noProof/>
              </w:rPr>
              <w:t>Investeerimistegevus</w:t>
            </w:r>
            <w:r>
              <w:rPr>
                <w:noProof/>
                <w:webHidden/>
              </w:rPr>
              <w:tab/>
            </w:r>
            <w:r>
              <w:rPr>
                <w:noProof/>
                <w:webHidden/>
              </w:rPr>
              <w:fldChar w:fldCharType="begin"/>
            </w:r>
            <w:r>
              <w:rPr>
                <w:noProof/>
                <w:webHidden/>
              </w:rPr>
              <w:instrText xml:space="preserve"> PAGEREF _Toc173767789 \h </w:instrText>
            </w:r>
            <w:r>
              <w:rPr>
                <w:noProof/>
                <w:webHidden/>
              </w:rPr>
            </w:r>
            <w:r>
              <w:rPr>
                <w:noProof/>
                <w:webHidden/>
              </w:rPr>
              <w:fldChar w:fldCharType="separate"/>
            </w:r>
            <w:r>
              <w:rPr>
                <w:noProof/>
                <w:webHidden/>
              </w:rPr>
              <w:t>10</w:t>
            </w:r>
            <w:r>
              <w:rPr>
                <w:noProof/>
                <w:webHidden/>
              </w:rPr>
              <w:fldChar w:fldCharType="end"/>
            </w:r>
          </w:hyperlink>
        </w:p>
        <w:p w14:paraId="19F921C2" w14:textId="42544997" w:rsidR="007A0B58" w:rsidRDefault="007A0B58">
          <w:pPr>
            <w:pStyle w:val="SK2"/>
            <w:tabs>
              <w:tab w:val="left" w:pos="720"/>
              <w:tab w:val="right" w:leader="dot" w:pos="9062"/>
            </w:tabs>
            <w:rPr>
              <w:rFonts w:eastAsiaTheme="minorEastAsia"/>
              <w:noProof/>
              <w:kern w:val="2"/>
              <w:sz w:val="24"/>
              <w:szCs w:val="24"/>
              <w:lang w:eastAsia="et-EE"/>
              <w14:ligatures w14:val="standardContextual"/>
            </w:rPr>
          </w:pPr>
          <w:hyperlink w:anchor="_Toc173767790" w:history="1">
            <w:r w:rsidRPr="002C2BF0">
              <w:rPr>
                <w:rStyle w:val="Hperlink"/>
                <w:b/>
                <w:bCs/>
                <w:noProof/>
              </w:rPr>
              <w:t>7.</w:t>
            </w:r>
            <w:r>
              <w:rPr>
                <w:rFonts w:eastAsiaTheme="minorEastAsia"/>
                <w:noProof/>
                <w:kern w:val="2"/>
                <w:sz w:val="24"/>
                <w:szCs w:val="24"/>
                <w:lang w:eastAsia="et-EE"/>
                <w14:ligatures w14:val="standardContextual"/>
              </w:rPr>
              <w:tab/>
            </w:r>
            <w:r w:rsidRPr="002C2BF0">
              <w:rPr>
                <w:rStyle w:val="Hperlink"/>
                <w:b/>
                <w:bCs/>
                <w:noProof/>
              </w:rPr>
              <w:t>Finantseerimistegevus</w:t>
            </w:r>
            <w:r>
              <w:rPr>
                <w:noProof/>
                <w:webHidden/>
              </w:rPr>
              <w:tab/>
            </w:r>
            <w:r>
              <w:rPr>
                <w:noProof/>
                <w:webHidden/>
              </w:rPr>
              <w:fldChar w:fldCharType="begin"/>
            </w:r>
            <w:r>
              <w:rPr>
                <w:noProof/>
                <w:webHidden/>
              </w:rPr>
              <w:instrText xml:space="preserve"> PAGEREF _Toc173767790 \h </w:instrText>
            </w:r>
            <w:r>
              <w:rPr>
                <w:noProof/>
                <w:webHidden/>
              </w:rPr>
            </w:r>
            <w:r>
              <w:rPr>
                <w:noProof/>
                <w:webHidden/>
              </w:rPr>
              <w:fldChar w:fldCharType="separate"/>
            </w:r>
            <w:r>
              <w:rPr>
                <w:noProof/>
                <w:webHidden/>
              </w:rPr>
              <w:t>12</w:t>
            </w:r>
            <w:r>
              <w:rPr>
                <w:noProof/>
                <w:webHidden/>
              </w:rPr>
              <w:fldChar w:fldCharType="end"/>
            </w:r>
          </w:hyperlink>
        </w:p>
        <w:p w14:paraId="0590C7FA" w14:textId="73AD133D" w:rsidR="007A0B58" w:rsidRDefault="007A0B58">
          <w:pPr>
            <w:pStyle w:val="SK2"/>
            <w:tabs>
              <w:tab w:val="left" w:pos="720"/>
              <w:tab w:val="right" w:leader="dot" w:pos="9062"/>
            </w:tabs>
            <w:rPr>
              <w:rFonts w:eastAsiaTheme="minorEastAsia"/>
              <w:noProof/>
              <w:kern w:val="2"/>
              <w:sz w:val="24"/>
              <w:szCs w:val="24"/>
              <w:lang w:eastAsia="et-EE"/>
              <w14:ligatures w14:val="standardContextual"/>
            </w:rPr>
          </w:pPr>
          <w:hyperlink w:anchor="_Toc173767791" w:history="1">
            <w:r w:rsidRPr="002C2BF0">
              <w:rPr>
                <w:rStyle w:val="Hperlink"/>
                <w:b/>
                <w:bCs/>
                <w:noProof/>
              </w:rPr>
              <w:t>8.</w:t>
            </w:r>
            <w:r>
              <w:rPr>
                <w:rFonts w:eastAsiaTheme="minorEastAsia"/>
                <w:noProof/>
                <w:kern w:val="2"/>
                <w:sz w:val="24"/>
                <w:szCs w:val="24"/>
                <w:lang w:eastAsia="et-EE"/>
                <w14:ligatures w14:val="standardContextual"/>
              </w:rPr>
              <w:tab/>
            </w:r>
            <w:r w:rsidRPr="002C2BF0">
              <w:rPr>
                <w:rStyle w:val="Hperlink"/>
                <w:b/>
                <w:bCs/>
                <w:noProof/>
              </w:rPr>
              <w:t>Põhitegevuse tulem ja netovõlakoormus</w:t>
            </w:r>
            <w:r>
              <w:rPr>
                <w:noProof/>
                <w:webHidden/>
              </w:rPr>
              <w:tab/>
            </w:r>
            <w:r>
              <w:rPr>
                <w:noProof/>
                <w:webHidden/>
              </w:rPr>
              <w:fldChar w:fldCharType="begin"/>
            </w:r>
            <w:r>
              <w:rPr>
                <w:noProof/>
                <w:webHidden/>
              </w:rPr>
              <w:instrText xml:space="preserve"> PAGEREF _Toc173767791 \h </w:instrText>
            </w:r>
            <w:r>
              <w:rPr>
                <w:noProof/>
                <w:webHidden/>
              </w:rPr>
            </w:r>
            <w:r>
              <w:rPr>
                <w:noProof/>
                <w:webHidden/>
              </w:rPr>
              <w:fldChar w:fldCharType="separate"/>
            </w:r>
            <w:r>
              <w:rPr>
                <w:noProof/>
                <w:webHidden/>
              </w:rPr>
              <w:t>13</w:t>
            </w:r>
            <w:r>
              <w:rPr>
                <w:noProof/>
                <w:webHidden/>
              </w:rPr>
              <w:fldChar w:fldCharType="end"/>
            </w:r>
          </w:hyperlink>
        </w:p>
        <w:p w14:paraId="1E5473A6" w14:textId="2FAAA4C1" w:rsidR="007A0B58" w:rsidRDefault="007A0B58">
          <w:pPr>
            <w:pStyle w:val="SK2"/>
            <w:tabs>
              <w:tab w:val="left" w:pos="720"/>
              <w:tab w:val="right" w:leader="dot" w:pos="9062"/>
            </w:tabs>
            <w:rPr>
              <w:rFonts w:eastAsiaTheme="minorEastAsia"/>
              <w:noProof/>
              <w:kern w:val="2"/>
              <w:sz w:val="24"/>
              <w:szCs w:val="24"/>
              <w:lang w:eastAsia="et-EE"/>
              <w14:ligatures w14:val="standardContextual"/>
            </w:rPr>
          </w:pPr>
          <w:hyperlink w:anchor="_Toc173767792" w:history="1">
            <w:r w:rsidRPr="002C2BF0">
              <w:rPr>
                <w:rStyle w:val="Hperlink"/>
                <w:b/>
                <w:bCs/>
                <w:noProof/>
              </w:rPr>
              <w:t>9.</w:t>
            </w:r>
            <w:r>
              <w:rPr>
                <w:rFonts w:eastAsiaTheme="minorEastAsia"/>
                <w:noProof/>
                <w:kern w:val="2"/>
                <w:sz w:val="24"/>
                <w:szCs w:val="24"/>
                <w:lang w:eastAsia="et-EE"/>
                <w14:ligatures w14:val="standardContextual"/>
              </w:rPr>
              <w:tab/>
            </w:r>
            <w:r w:rsidRPr="002C2BF0">
              <w:rPr>
                <w:rStyle w:val="Hperlink"/>
                <w:b/>
                <w:bCs/>
                <w:noProof/>
              </w:rPr>
              <w:t>Arvestusüksused ja finantsdistsipliin</w:t>
            </w:r>
            <w:r>
              <w:rPr>
                <w:noProof/>
                <w:webHidden/>
              </w:rPr>
              <w:tab/>
            </w:r>
            <w:r>
              <w:rPr>
                <w:noProof/>
                <w:webHidden/>
              </w:rPr>
              <w:fldChar w:fldCharType="begin"/>
            </w:r>
            <w:r>
              <w:rPr>
                <w:noProof/>
                <w:webHidden/>
              </w:rPr>
              <w:instrText xml:space="preserve"> PAGEREF _Toc173767792 \h </w:instrText>
            </w:r>
            <w:r>
              <w:rPr>
                <w:noProof/>
                <w:webHidden/>
              </w:rPr>
            </w:r>
            <w:r>
              <w:rPr>
                <w:noProof/>
                <w:webHidden/>
              </w:rPr>
              <w:fldChar w:fldCharType="separate"/>
            </w:r>
            <w:r>
              <w:rPr>
                <w:noProof/>
                <w:webHidden/>
              </w:rPr>
              <w:t>14</w:t>
            </w:r>
            <w:r>
              <w:rPr>
                <w:noProof/>
                <w:webHidden/>
              </w:rPr>
              <w:fldChar w:fldCharType="end"/>
            </w:r>
          </w:hyperlink>
        </w:p>
        <w:p w14:paraId="28E57921" w14:textId="3576CF31" w:rsidR="007A0B58" w:rsidRDefault="007A0B58">
          <w:pPr>
            <w:pStyle w:val="SK2"/>
            <w:tabs>
              <w:tab w:val="left" w:pos="960"/>
              <w:tab w:val="right" w:leader="dot" w:pos="9062"/>
            </w:tabs>
            <w:rPr>
              <w:rFonts w:eastAsiaTheme="minorEastAsia"/>
              <w:noProof/>
              <w:kern w:val="2"/>
              <w:sz w:val="24"/>
              <w:szCs w:val="24"/>
              <w:lang w:eastAsia="et-EE"/>
              <w14:ligatures w14:val="standardContextual"/>
            </w:rPr>
          </w:pPr>
          <w:hyperlink w:anchor="_Toc173767793" w:history="1">
            <w:r w:rsidRPr="002C2BF0">
              <w:rPr>
                <w:rStyle w:val="Hperlink"/>
                <w:b/>
                <w:bCs/>
                <w:noProof/>
              </w:rPr>
              <w:t>10.</w:t>
            </w:r>
            <w:r>
              <w:rPr>
                <w:rFonts w:eastAsiaTheme="minorEastAsia"/>
                <w:noProof/>
                <w:kern w:val="2"/>
                <w:sz w:val="24"/>
                <w:szCs w:val="24"/>
                <w:lang w:eastAsia="et-EE"/>
                <w14:ligatures w14:val="standardContextual"/>
              </w:rPr>
              <w:tab/>
            </w:r>
            <w:r w:rsidRPr="002C2BF0">
              <w:rPr>
                <w:rStyle w:val="Hperlink"/>
                <w:b/>
                <w:bCs/>
                <w:noProof/>
              </w:rPr>
              <w:t>Finantstegevuse prognoos aastateks 2024-2028</w:t>
            </w:r>
            <w:r>
              <w:rPr>
                <w:noProof/>
                <w:webHidden/>
              </w:rPr>
              <w:tab/>
            </w:r>
            <w:r>
              <w:rPr>
                <w:noProof/>
                <w:webHidden/>
              </w:rPr>
              <w:fldChar w:fldCharType="begin"/>
            </w:r>
            <w:r>
              <w:rPr>
                <w:noProof/>
                <w:webHidden/>
              </w:rPr>
              <w:instrText xml:space="preserve"> PAGEREF _Toc173767793 \h </w:instrText>
            </w:r>
            <w:r>
              <w:rPr>
                <w:noProof/>
                <w:webHidden/>
              </w:rPr>
            </w:r>
            <w:r>
              <w:rPr>
                <w:noProof/>
                <w:webHidden/>
              </w:rPr>
              <w:fldChar w:fldCharType="separate"/>
            </w:r>
            <w:r>
              <w:rPr>
                <w:noProof/>
                <w:webHidden/>
              </w:rPr>
              <w:t>18</w:t>
            </w:r>
            <w:r>
              <w:rPr>
                <w:noProof/>
                <w:webHidden/>
              </w:rPr>
              <w:fldChar w:fldCharType="end"/>
            </w:r>
          </w:hyperlink>
        </w:p>
        <w:p w14:paraId="0664A7F4" w14:textId="32C8BF3C" w:rsidR="007A0B58" w:rsidRDefault="007A0B58">
          <w:pPr>
            <w:pStyle w:val="SK2"/>
            <w:tabs>
              <w:tab w:val="left" w:pos="960"/>
              <w:tab w:val="right" w:leader="dot" w:pos="9062"/>
            </w:tabs>
            <w:rPr>
              <w:rFonts w:eastAsiaTheme="minorEastAsia"/>
              <w:noProof/>
              <w:kern w:val="2"/>
              <w:sz w:val="24"/>
              <w:szCs w:val="24"/>
              <w:lang w:eastAsia="et-EE"/>
              <w14:ligatures w14:val="standardContextual"/>
            </w:rPr>
          </w:pPr>
          <w:hyperlink w:anchor="_Toc173767794" w:history="1">
            <w:r w:rsidRPr="002C2BF0">
              <w:rPr>
                <w:rStyle w:val="Hperlink"/>
                <w:b/>
                <w:bCs/>
                <w:noProof/>
              </w:rPr>
              <w:t>11.</w:t>
            </w:r>
            <w:r>
              <w:rPr>
                <w:rFonts w:eastAsiaTheme="minorEastAsia"/>
                <w:noProof/>
                <w:kern w:val="2"/>
                <w:sz w:val="24"/>
                <w:szCs w:val="24"/>
                <w:lang w:eastAsia="et-EE"/>
                <w14:ligatures w14:val="standardContextual"/>
              </w:rPr>
              <w:tab/>
            </w:r>
            <w:r w:rsidRPr="002C2BF0">
              <w:rPr>
                <w:rStyle w:val="Hperlink"/>
                <w:b/>
                <w:bCs/>
                <w:noProof/>
              </w:rPr>
              <w:t>Arengukava eesmärkide teostus aastatel 2024-2028</w:t>
            </w:r>
            <w:r>
              <w:rPr>
                <w:noProof/>
                <w:webHidden/>
              </w:rPr>
              <w:tab/>
            </w:r>
            <w:r>
              <w:rPr>
                <w:noProof/>
                <w:webHidden/>
              </w:rPr>
              <w:fldChar w:fldCharType="begin"/>
            </w:r>
            <w:r>
              <w:rPr>
                <w:noProof/>
                <w:webHidden/>
              </w:rPr>
              <w:instrText xml:space="preserve"> PAGEREF _Toc173767794 \h </w:instrText>
            </w:r>
            <w:r>
              <w:rPr>
                <w:noProof/>
                <w:webHidden/>
              </w:rPr>
            </w:r>
            <w:r>
              <w:rPr>
                <w:noProof/>
                <w:webHidden/>
              </w:rPr>
              <w:fldChar w:fldCharType="separate"/>
            </w:r>
            <w:r>
              <w:rPr>
                <w:noProof/>
                <w:webHidden/>
              </w:rPr>
              <w:t>19</w:t>
            </w:r>
            <w:r>
              <w:rPr>
                <w:noProof/>
                <w:webHidden/>
              </w:rPr>
              <w:fldChar w:fldCharType="end"/>
            </w:r>
          </w:hyperlink>
        </w:p>
        <w:p w14:paraId="558E9A89" w14:textId="5E8C019F" w:rsidR="007A0B58" w:rsidRDefault="007A0B58">
          <w:r>
            <w:rPr>
              <w:b/>
              <w:bCs/>
            </w:rPr>
            <w:fldChar w:fldCharType="end"/>
          </w:r>
        </w:p>
      </w:sdtContent>
    </w:sdt>
    <w:p w14:paraId="1196D42E" w14:textId="77777777" w:rsidR="00080B40" w:rsidRDefault="00080B40" w:rsidP="00FD1DCC">
      <w:pPr>
        <w:pStyle w:val="Default"/>
        <w:rPr>
          <w:b/>
          <w:bCs/>
          <w:sz w:val="28"/>
          <w:szCs w:val="28"/>
        </w:rPr>
      </w:pPr>
    </w:p>
    <w:p w14:paraId="30004B9E" w14:textId="77777777" w:rsidR="00080B40" w:rsidRDefault="00080B40" w:rsidP="00FD1DCC">
      <w:pPr>
        <w:pStyle w:val="Default"/>
        <w:rPr>
          <w:b/>
          <w:bCs/>
          <w:sz w:val="28"/>
          <w:szCs w:val="28"/>
        </w:rPr>
      </w:pPr>
    </w:p>
    <w:p w14:paraId="40803E03" w14:textId="77777777" w:rsidR="00080B40" w:rsidRDefault="00080B40" w:rsidP="00FD1DCC">
      <w:pPr>
        <w:pStyle w:val="Default"/>
        <w:rPr>
          <w:b/>
          <w:bCs/>
          <w:sz w:val="28"/>
          <w:szCs w:val="28"/>
        </w:rPr>
      </w:pPr>
    </w:p>
    <w:p w14:paraId="7DA6DBEA" w14:textId="77777777" w:rsidR="00080B40" w:rsidRDefault="00080B40" w:rsidP="00FD1DCC">
      <w:pPr>
        <w:pStyle w:val="Default"/>
        <w:rPr>
          <w:b/>
          <w:bCs/>
          <w:sz w:val="28"/>
          <w:szCs w:val="28"/>
        </w:rPr>
      </w:pPr>
    </w:p>
    <w:p w14:paraId="57E50A44" w14:textId="77777777" w:rsidR="00080B40" w:rsidRDefault="00080B40" w:rsidP="00FD1DCC">
      <w:pPr>
        <w:pStyle w:val="Default"/>
        <w:rPr>
          <w:b/>
          <w:bCs/>
          <w:sz w:val="28"/>
          <w:szCs w:val="28"/>
        </w:rPr>
      </w:pPr>
    </w:p>
    <w:p w14:paraId="7163A8F2" w14:textId="77777777" w:rsidR="00080B40" w:rsidRDefault="00080B40" w:rsidP="00FD1DCC">
      <w:pPr>
        <w:pStyle w:val="Default"/>
        <w:rPr>
          <w:b/>
          <w:bCs/>
          <w:sz w:val="28"/>
          <w:szCs w:val="28"/>
        </w:rPr>
      </w:pPr>
    </w:p>
    <w:p w14:paraId="3E9249DB" w14:textId="77777777" w:rsidR="00080B40" w:rsidRDefault="00080B40" w:rsidP="00FD1DCC">
      <w:pPr>
        <w:pStyle w:val="Default"/>
        <w:rPr>
          <w:b/>
          <w:bCs/>
          <w:sz w:val="28"/>
          <w:szCs w:val="28"/>
        </w:rPr>
      </w:pPr>
    </w:p>
    <w:p w14:paraId="584BBC71" w14:textId="77777777" w:rsidR="00080B40" w:rsidRDefault="00080B40" w:rsidP="00FD1DCC">
      <w:pPr>
        <w:pStyle w:val="Default"/>
        <w:rPr>
          <w:b/>
          <w:bCs/>
          <w:sz w:val="28"/>
          <w:szCs w:val="28"/>
        </w:rPr>
      </w:pPr>
    </w:p>
    <w:p w14:paraId="6600F1D0" w14:textId="77777777" w:rsidR="00080B40" w:rsidRDefault="00080B40" w:rsidP="00FD1DCC">
      <w:pPr>
        <w:pStyle w:val="Default"/>
        <w:rPr>
          <w:b/>
          <w:bCs/>
          <w:sz w:val="28"/>
          <w:szCs w:val="28"/>
        </w:rPr>
      </w:pPr>
    </w:p>
    <w:p w14:paraId="1BB8BD20" w14:textId="77777777" w:rsidR="00080B40" w:rsidRDefault="00080B40" w:rsidP="00FD1DCC">
      <w:pPr>
        <w:pStyle w:val="Default"/>
        <w:rPr>
          <w:b/>
          <w:bCs/>
          <w:sz w:val="28"/>
          <w:szCs w:val="28"/>
        </w:rPr>
      </w:pPr>
    </w:p>
    <w:p w14:paraId="36146583" w14:textId="77777777" w:rsidR="00080B40" w:rsidRDefault="00080B40" w:rsidP="00FD1DCC">
      <w:pPr>
        <w:pStyle w:val="Default"/>
        <w:rPr>
          <w:b/>
          <w:bCs/>
          <w:sz w:val="28"/>
          <w:szCs w:val="28"/>
        </w:rPr>
      </w:pPr>
    </w:p>
    <w:p w14:paraId="26225C42" w14:textId="77777777" w:rsidR="00080B40" w:rsidRDefault="00080B40" w:rsidP="00FD1DCC">
      <w:pPr>
        <w:pStyle w:val="Default"/>
        <w:rPr>
          <w:b/>
          <w:bCs/>
          <w:sz w:val="28"/>
          <w:szCs w:val="28"/>
        </w:rPr>
      </w:pPr>
    </w:p>
    <w:p w14:paraId="4243EC8D" w14:textId="77777777" w:rsidR="00080B40" w:rsidRDefault="00080B40" w:rsidP="00FD1DCC">
      <w:pPr>
        <w:pStyle w:val="Default"/>
        <w:rPr>
          <w:b/>
          <w:bCs/>
          <w:sz w:val="28"/>
          <w:szCs w:val="28"/>
        </w:rPr>
      </w:pPr>
    </w:p>
    <w:p w14:paraId="415F3C50" w14:textId="77777777" w:rsidR="00080B40" w:rsidRDefault="00080B40" w:rsidP="00FD1DCC">
      <w:pPr>
        <w:pStyle w:val="Default"/>
        <w:rPr>
          <w:b/>
          <w:bCs/>
          <w:sz w:val="28"/>
          <w:szCs w:val="28"/>
        </w:rPr>
      </w:pPr>
    </w:p>
    <w:p w14:paraId="0AEB7F82" w14:textId="77777777" w:rsidR="00080B40" w:rsidRDefault="00080B40" w:rsidP="00FD1DCC">
      <w:pPr>
        <w:pStyle w:val="Default"/>
        <w:rPr>
          <w:b/>
          <w:bCs/>
          <w:sz w:val="28"/>
          <w:szCs w:val="28"/>
        </w:rPr>
      </w:pPr>
    </w:p>
    <w:p w14:paraId="6B1751ED" w14:textId="77777777" w:rsidR="00080B40" w:rsidRDefault="00080B40" w:rsidP="00FD1DCC">
      <w:pPr>
        <w:pStyle w:val="Default"/>
        <w:rPr>
          <w:b/>
          <w:bCs/>
          <w:sz w:val="28"/>
          <w:szCs w:val="28"/>
        </w:rPr>
      </w:pPr>
    </w:p>
    <w:p w14:paraId="6763CBA3" w14:textId="77777777" w:rsidR="00080B40" w:rsidRDefault="00080B40" w:rsidP="00FD1DCC">
      <w:pPr>
        <w:pStyle w:val="Default"/>
        <w:rPr>
          <w:b/>
          <w:bCs/>
          <w:sz w:val="28"/>
          <w:szCs w:val="28"/>
        </w:rPr>
      </w:pPr>
    </w:p>
    <w:p w14:paraId="505FCD1E" w14:textId="77777777" w:rsidR="00080B40" w:rsidRDefault="00080B40" w:rsidP="00FD1DCC">
      <w:pPr>
        <w:pStyle w:val="Default"/>
        <w:rPr>
          <w:b/>
          <w:bCs/>
          <w:sz w:val="28"/>
          <w:szCs w:val="28"/>
        </w:rPr>
      </w:pPr>
    </w:p>
    <w:p w14:paraId="4DEE7C1F" w14:textId="77777777" w:rsidR="00080B40" w:rsidRDefault="00080B40" w:rsidP="00FD1DCC">
      <w:pPr>
        <w:pStyle w:val="Default"/>
        <w:rPr>
          <w:b/>
          <w:bCs/>
          <w:sz w:val="28"/>
          <w:szCs w:val="28"/>
        </w:rPr>
      </w:pPr>
    </w:p>
    <w:p w14:paraId="51335D8B" w14:textId="77777777" w:rsidR="00080B40" w:rsidRDefault="00080B40" w:rsidP="00FD1DCC">
      <w:pPr>
        <w:pStyle w:val="Default"/>
        <w:rPr>
          <w:b/>
          <w:bCs/>
          <w:sz w:val="28"/>
          <w:szCs w:val="28"/>
        </w:rPr>
      </w:pPr>
    </w:p>
    <w:p w14:paraId="13D03F48" w14:textId="77777777" w:rsidR="00D42B5E" w:rsidRDefault="00D42B5E" w:rsidP="00FD1DCC">
      <w:pPr>
        <w:pStyle w:val="Default"/>
        <w:rPr>
          <w:b/>
          <w:bCs/>
          <w:sz w:val="28"/>
          <w:szCs w:val="28"/>
        </w:rPr>
      </w:pPr>
    </w:p>
    <w:p w14:paraId="3E2E8DCA" w14:textId="77777777" w:rsidR="00D42B5E" w:rsidRDefault="00D42B5E" w:rsidP="00FD1DCC">
      <w:pPr>
        <w:pStyle w:val="Default"/>
        <w:rPr>
          <w:b/>
          <w:bCs/>
          <w:sz w:val="28"/>
          <w:szCs w:val="28"/>
        </w:rPr>
      </w:pPr>
    </w:p>
    <w:p w14:paraId="4469AF98" w14:textId="77777777" w:rsidR="00D42B5E" w:rsidRDefault="00D42B5E" w:rsidP="00FD1DCC">
      <w:pPr>
        <w:pStyle w:val="Default"/>
        <w:rPr>
          <w:b/>
          <w:bCs/>
          <w:sz w:val="28"/>
          <w:szCs w:val="28"/>
        </w:rPr>
      </w:pPr>
    </w:p>
    <w:p w14:paraId="2BA18C2B" w14:textId="77777777" w:rsidR="00001F25" w:rsidRPr="00001F25" w:rsidRDefault="00001F25" w:rsidP="00FD1DCC">
      <w:pPr>
        <w:pStyle w:val="Default"/>
      </w:pPr>
    </w:p>
    <w:p w14:paraId="7BFB9B9C" w14:textId="7862E3A3" w:rsidR="009340F2" w:rsidRPr="0047765E" w:rsidRDefault="009340F2" w:rsidP="00992BE1">
      <w:pPr>
        <w:pStyle w:val="Pealkiri1"/>
        <w:numPr>
          <w:ilvl w:val="0"/>
          <w:numId w:val="16"/>
        </w:numPr>
        <w:rPr>
          <w:b/>
          <w:bCs/>
        </w:rPr>
      </w:pPr>
      <w:bookmarkStart w:id="0" w:name="_Toc173767615"/>
      <w:bookmarkStart w:id="1" w:name="_Toc173767782"/>
      <w:r w:rsidRPr="0047765E">
        <w:rPr>
          <w:b/>
          <w:bCs/>
        </w:rPr>
        <w:t>Sissejuhatus</w:t>
      </w:r>
      <w:bookmarkEnd w:id="0"/>
      <w:bookmarkEnd w:id="1"/>
    </w:p>
    <w:p w14:paraId="6403D779" w14:textId="77777777" w:rsidR="008D717F" w:rsidRPr="008D717F" w:rsidRDefault="008D717F" w:rsidP="008D717F"/>
    <w:p w14:paraId="56DB4FBA" w14:textId="33275FB4" w:rsidR="00112929" w:rsidRPr="00D12FCF" w:rsidRDefault="00830409" w:rsidP="0092720F">
      <w:pPr>
        <w:spacing w:line="240" w:lineRule="auto"/>
        <w:jc w:val="both"/>
        <w:rPr>
          <w:rFonts w:ascii="Arial" w:hAnsi="Arial" w:cs="Arial"/>
          <w:sz w:val="24"/>
          <w:szCs w:val="24"/>
        </w:rPr>
      </w:pPr>
      <w:r w:rsidRPr="009340F2">
        <w:rPr>
          <w:rFonts w:ascii="Arial" w:hAnsi="Arial" w:cs="Arial"/>
          <w:sz w:val="24"/>
          <w:szCs w:val="24"/>
        </w:rPr>
        <w:t>Tartu</w:t>
      </w:r>
      <w:r w:rsidR="00FD1DCC" w:rsidRPr="009340F2">
        <w:rPr>
          <w:rFonts w:ascii="Arial" w:hAnsi="Arial" w:cs="Arial"/>
          <w:sz w:val="24"/>
          <w:szCs w:val="24"/>
        </w:rPr>
        <w:t xml:space="preserve"> valla eelarvestrateegia </w:t>
      </w:r>
      <w:r w:rsidR="00924D4E" w:rsidRPr="00924D4E">
        <w:rPr>
          <w:rFonts w:ascii="Arial" w:hAnsi="Arial" w:cs="Arial"/>
          <w:sz w:val="24"/>
          <w:szCs w:val="24"/>
        </w:rPr>
        <w:t>koostatakse arengukava</w:t>
      </w:r>
      <w:r w:rsidR="003C6CE2">
        <w:rPr>
          <w:rFonts w:ascii="Arial" w:hAnsi="Arial" w:cs="Arial"/>
          <w:sz w:val="24"/>
          <w:szCs w:val="24"/>
        </w:rPr>
        <w:t xml:space="preserve"> 2022-2030</w:t>
      </w:r>
      <w:r w:rsidR="00924D4E" w:rsidRPr="00924D4E">
        <w:rPr>
          <w:rFonts w:ascii="Arial" w:hAnsi="Arial" w:cs="Arial"/>
          <w:sz w:val="24"/>
          <w:szCs w:val="24"/>
        </w:rPr>
        <w:t xml:space="preserve"> sätestatud</w:t>
      </w:r>
      <w:r w:rsidR="003C6CE2">
        <w:rPr>
          <w:rFonts w:ascii="Arial" w:hAnsi="Arial" w:cs="Arial"/>
          <w:sz w:val="24"/>
          <w:szCs w:val="24"/>
        </w:rPr>
        <w:t xml:space="preserve"> </w:t>
      </w:r>
      <w:r w:rsidR="00924D4E" w:rsidRPr="00924D4E">
        <w:rPr>
          <w:rFonts w:ascii="Arial" w:hAnsi="Arial" w:cs="Arial"/>
          <w:sz w:val="24"/>
          <w:szCs w:val="24"/>
        </w:rPr>
        <w:t>eesmärkide saavutamiseks</w:t>
      </w:r>
      <w:r w:rsidR="003C6CE2">
        <w:rPr>
          <w:rFonts w:ascii="Arial" w:hAnsi="Arial" w:cs="Arial"/>
          <w:sz w:val="24"/>
          <w:szCs w:val="24"/>
        </w:rPr>
        <w:t>,</w:t>
      </w:r>
      <w:r w:rsidR="00112929" w:rsidRPr="00D12FCF">
        <w:rPr>
          <w:rFonts w:ascii="Arial" w:hAnsi="Arial" w:cs="Arial"/>
          <w:sz w:val="24"/>
          <w:szCs w:val="24"/>
        </w:rPr>
        <w:t xml:space="preserve"> et planeerida kavandatavate tegevuste finantseerimist. Arengukava koos eelarvestrateegiaga on aluseks otsuste vastuvõtmisel, valla eelarve koostamisel, kohustuste võtmisel, varaga tehingute tegemisel, investeeringute kavandamisel ning investeeringuteks toetuste taotlemisel, vallaelu organiseerimisel ja planeerimisel.</w:t>
      </w:r>
    </w:p>
    <w:p w14:paraId="368E8882" w14:textId="3F7C93D9" w:rsidR="00112929" w:rsidRPr="00D12FCF" w:rsidRDefault="00112929" w:rsidP="0092720F">
      <w:pPr>
        <w:spacing w:line="240" w:lineRule="auto"/>
        <w:jc w:val="both"/>
        <w:rPr>
          <w:rFonts w:ascii="Arial" w:hAnsi="Arial" w:cs="Arial"/>
          <w:sz w:val="24"/>
          <w:szCs w:val="24"/>
        </w:rPr>
      </w:pPr>
      <w:r w:rsidRPr="00D12FCF">
        <w:rPr>
          <w:rFonts w:ascii="Arial" w:hAnsi="Arial" w:cs="Arial"/>
          <w:sz w:val="24"/>
          <w:szCs w:val="24"/>
        </w:rPr>
        <w:t>Lähtuvalt eelarvestrateegia koostamise aja keerulisest ja uudsest olukorrast kogu maailma majanduses on prognooside tegemine äärmiselt raske. Nii koroonakogemuse kui Ukrainas toimuva najal teame, et olukord maailmas võib kardinaalselt muutuda päevade ja nädalatega. Valla</w:t>
      </w:r>
      <w:r w:rsidR="006B4FBB">
        <w:rPr>
          <w:rFonts w:ascii="Arial" w:hAnsi="Arial" w:cs="Arial"/>
          <w:sz w:val="24"/>
          <w:szCs w:val="24"/>
        </w:rPr>
        <w:t xml:space="preserve"> </w:t>
      </w:r>
      <w:r w:rsidRPr="00D12FCF">
        <w:rPr>
          <w:rFonts w:ascii="Arial" w:hAnsi="Arial" w:cs="Arial"/>
          <w:sz w:val="24"/>
          <w:szCs w:val="24"/>
        </w:rPr>
        <w:t>eelarve</w:t>
      </w:r>
      <w:r w:rsidR="006B4FBB">
        <w:rPr>
          <w:rFonts w:ascii="Arial" w:hAnsi="Arial" w:cs="Arial"/>
          <w:sz w:val="24"/>
          <w:szCs w:val="24"/>
        </w:rPr>
        <w:t>strateegia</w:t>
      </w:r>
      <w:r w:rsidRPr="00D12FCF">
        <w:rPr>
          <w:rFonts w:ascii="Arial" w:hAnsi="Arial" w:cs="Arial"/>
          <w:sz w:val="24"/>
          <w:szCs w:val="24"/>
        </w:rPr>
        <w:t xml:space="preserve"> 202</w:t>
      </w:r>
      <w:r w:rsidR="00CC26ED">
        <w:rPr>
          <w:rFonts w:ascii="Arial" w:hAnsi="Arial" w:cs="Arial"/>
          <w:sz w:val="24"/>
          <w:szCs w:val="24"/>
        </w:rPr>
        <w:t>4</w:t>
      </w:r>
      <w:r w:rsidRPr="00D12FCF">
        <w:rPr>
          <w:rFonts w:ascii="Arial" w:hAnsi="Arial" w:cs="Arial"/>
          <w:sz w:val="24"/>
          <w:szCs w:val="24"/>
        </w:rPr>
        <w:t>.-202</w:t>
      </w:r>
      <w:r w:rsidR="00CC26ED">
        <w:rPr>
          <w:rFonts w:ascii="Arial" w:hAnsi="Arial" w:cs="Arial"/>
          <w:sz w:val="24"/>
          <w:szCs w:val="24"/>
        </w:rPr>
        <w:t>8</w:t>
      </w:r>
      <w:r w:rsidRPr="00D12FCF">
        <w:rPr>
          <w:rFonts w:ascii="Arial" w:hAnsi="Arial" w:cs="Arial"/>
          <w:sz w:val="24"/>
          <w:szCs w:val="24"/>
        </w:rPr>
        <w:t>. aasta prognoosides kajastub 202</w:t>
      </w:r>
      <w:r w:rsidR="00D64605">
        <w:rPr>
          <w:rFonts w:ascii="Arial" w:hAnsi="Arial" w:cs="Arial"/>
          <w:sz w:val="24"/>
          <w:szCs w:val="24"/>
        </w:rPr>
        <w:t>4</w:t>
      </w:r>
      <w:r w:rsidRPr="00D12FCF">
        <w:rPr>
          <w:rFonts w:ascii="Arial" w:hAnsi="Arial" w:cs="Arial"/>
          <w:sz w:val="24"/>
          <w:szCs w:val="24"/>
        </w:rPr>
        <w:t>. aasta augusti alguse parim teadmine valla tulude, kulude ja võimalike investeeringuobjektide kohta.</w:t>
      </w:r>
    </w:p>
    <w:p w14:paraId="3BE39B1B" w14:textId="77777777" w:rsidR="0007050E" w:rsidRDefault="00924D4E" w:rsidP="0092720F">
      <w:pPr>
        <w:pStyle w:val="Pealkiri1"/>
        <w:shd w:val="clear" w:color="auto" w:fill="FFFFFF"/>
        <w:spacing w:before="0" w:after="240" w:line="240" w:lineRule="auto"/>
        <w:jc w:val="both"/>
        <w:rPr>
          <w:rFonts w:ascii="Arial" w:hAnsi="Arial" w:cs="Arial"/>
          <w:color w:val="auto"/>
          <w:sz w:val="24"/>
          <w:szCs w:val="24"/>
        </w:rPr>
      </w:pPr>
      <w:bookmarkStart w:id="2" w:name="_Toc173767783"/>
      <w:r w:rsidRPr="0007050E">
        <w:rPr>
          <w:rFonts w:ascii="Arial" w:hAnsi="Arial" w:cs="Arial"/>
          <w:color w:val="auto"/>
          <w:sz w:val="24"/>
          <w:szCs w:val="24"/>
        </w:rPr>
        <w:t xml:space="preserve">Eelarvestrateegia </w:t>
      </w:r>
      <w:r w:rsidR="00D12FCF" w:rsidRPr="0007050E">
        <w:rPr>
          <w:rFonts w:ascii="Arial" w:hAnsi="Arial" w:cs="Arial"/>
          <w:color w:val="auto"/>
          <w:sz w:val="24"/>
          <w:szCs w:val="24"/>
        </w:rPr>
        <w:t xml:space="preserve">tuleb </w:t>
      </w:r>
      <w:r w:rsidRPr="0007050E">
        <w:rPr>
          <w:rFonts w:ascii="Arial" w:hAnsi="Arial" w:cs="Arial"/>
          <w:color w:val="auto"/>
          <w:sz w:val="24"/>
          <w:szCs w:val="24"/>
        </w:rPr>
        <w:t>koostad</w:t>
      </w:r>
      <w:r w:rsidR="00D12FCF" w:rsidRPr="0007050E">
        <w:rPr>
          <w:rFonts w:ascii="Arial" w:hAnsi="Arial" w:cs="Arial"/>
          <w:color w:val="auto"/>
          <w:sz w:val="24"/>
          <w:szCs w:val="24"/>
        </w:rPr>
        <w:t>a vähemalt</w:t>
      </w:r>
      <w:r w:rsidRPr="0007050E">
        <w:rPr>
          <w:rFonts w:ascii="Arial" w:hAnsi="Arial" w:cs="Arial"/>
          <w:color w:val="auto"/>
          <w:sz w:val="24"/>
          <w:szCs w:val="24"/>
        </w:rPr>
        <w:t xml:space="preserve"> nelja</w:t>
      </w:r>
      <w:r w:rsidR="00DB59F8" w:rsidRPr="0007050E">
        <w:rPr>
          <w:rFonts w:ascii="Arial" w:hAnsi="Arial" w:cs="Arial"/>
          <w:color w:val="auto"/>
          <w:sz w:val="24"/>
          <w:szCs w:val="24"/>
        </w:rPr>
        <w:t xml:space="preserve"> eelseisva</w:t>
      </w:r>
      <w:r w:rsidRPr="0007050E">
        <w:rPr>
          <w:rFonts w:ascii="Arial" w:hAnsi="Arial" w:cs="Arial"/>
          <w:color w:val="auto"/>
          <w:sz w:val="24"/>
          <w:szCs w:val="24"/>
        </w:rPr>
        <w:t xml:space="preserve"> eelarveaasta kohta.</w:t>
      </w:r>
      <w:r w:rsidR="00DB59F8" w:rsidRPr="0007050E">
        <w:rPr>
          <w:rFonts w:ascii="Arial" w:hAnsi="Arial" w:cs="Arial"/>
          <w:color w:val="auto"/>
          <w:sz w:val="24"/>
          <w:szCs w:val="24"/>
        </w:rPr>
        <w:t xml:space="preserve"> </w:t>
      </w:r>
      <w:r w:rsidRPr="0007050E">
        <w:rPr>
          <w:rFonts w:ascii="Arial" w:hAnsi="Arial" w:cs="Arial"/>
          <w:color w:val="auto"/>
          <w:sz w:val="24"/>
          <w:szCs w:val="24"/>
        </w:rPr>
        <w:t>Eelarvestrateegiat uuendatakse igal aastal, täpsustades varasemas eelarve</w:t>
      </w:r>
      <w:r w:rsidR="009459DA" w:rsidRPr="0007050E">
        <w:rPr>
          <w:rFonts w:ascii="Arial" w:hAnsi="Arial" w:cs="Arial"/>
          <w:color w:val="auto"/>
          <w:sz w:val="24"/>
          <w:szCs w:val="24"/>
        </w:rPr>
        <w:t xml:space="preserve">- </w:t>
      </w:r>
      <w:r w:rsidRPr="0007050E">
        <w:rPr>
          <w:rFonts w:ascii="Arial" w:hAnsi="Arial" w:cs="Arial"/>
          <w:color w:val="auto"/>
          <w:sz w:val="24"/>
          <w:szCs w:val="24"/>
        </w:rPr>
        <w:t>strateegias kajastatud jooksva aasta ja kolme eelseisva aasta prognoose ning lisades neljanda aasta prognoosid.</w:t>
      </w:r>
      <w:bookmarkEnd w:id="2"/>
      <w:r w:rsidR="00FD1DCC" w:rsidRPr="0007050E">
        <w:rPr>
          <w:rFonts w:ascii="Arial" w:hAnsi="Arial" w:cs="Arial"/>
          <w:color w:val="auto"/>
          <w:sz w:val="24"/>
          <w:szCs w:val="24"/>
        </w:rPr>
        <w:t xml:space="preserve"> </w:t>
      </w:r>
    </w:p>
    <w:p w14:paraId="680708EA" w14:textId="21D3229D" w:rsidR="0007050E" w:rsidRPr="0007050E" w:rsidRDefault="0007050E" w:rsidP="0092720F">
      <w:pPr>
        <w:pStyle w:val="Pealkiri1"/>
        <w:shd w:val="clear" w:color="auto" w:fill="FFFFFF"/>
        <w:spacing w:before="0" w:after="240" w:line="240" w:lineRule="auto"/>
        <w:jc w:val="both"/>
        <w:rPr>
          <w:rFonts w:ascii="Arial" w:eastAsia="Times New Roman" w:hAnsi="Arial" w:cs="Arial"/>
          <w:b/>
          <w:bCs/>
          <w:color w:val="auto"/>
          <w:kern w:val="36"/>
          <w:sz w:val="30"/>
          <w:szCs w:val="30"/>
          <w:lang w:eastAsia="et-EE"/>
        </w:rPr>
      </w:pPr>
      <w:bookmarkStart w:id="3" w:name="_Toc173767784"/>
      <w:r w:rsidRPr="0007050E">
        <w:rPr>
          <w:rFonts w:ascii="Arial" w:hAnsi="Arial" w:cs="Arial"/>
          <w:color w:val="auto"/>
          <w:sz w:val="24"/>
          <w:szCs w:val="24"/>
        </w:rPr>
        <w:t>Tartu valla eelarvestrateegia on koostatud vastavalt kohaliku omavalitsuse üksuse finantsjuhtimise seaduse (KOFS)</w:t>
      </w:r>
      <w:r w:rsidRPr="0007050E">
        <w:rPr>
          <w:rStyle w:val="Allmrkuseviide"/>
          <w:rFonts w:ascii="Arial" w:hAnsi="Arial" w:cs="Arial"/>
          <w:color w:val="auto"/>
          <w:sz w:val="24"/>
          <w:szCs w:val="24"/>
        </w:rPr>
        <w:footnoteReference w:id="1"/>
      </w:r>
      <w:r w:rsidRPr="0007050E">
        <w:rPr>
          <w:rFonts w:ascii="Arial" w:hAnsi="Arial" w:cs="Arial"/>
          <w:color w:val="auto"/>
          <w:sz w:val="24"/>
          <w:szCs w:val="24"/>
        </w:rPr>
        <w:t xml:space="preserve"> § 20 nõuetele. Samuti lähtutakse koostamisel ja menetlemisel kohaliku omavalitsuse korralduse seaduse §-st 37 ning Tartu Vallavolikogu 09.12.2019 määrusest nr 27 „</w:t>
      </w:r>
      <w:bookmarkStart w:id="4" w:name="_Hlk142407650"/>
      <w:r w:rsidRPr="0007050E">
        <w:rPr>
          <w:rFonts w:ascii="Arial" w:eastAsia="Times New Roman" w:hAnsi="Arial" w:cs="Arial"/>
          <w:color w:val="auto"/>
          <w:kern w:val="36"/>
          <w:sz w:val="24"/>
          <w:szCs w:val="24"/>
          <w:lang w:eastAsia="et-EE"/>
        </w:rPr>
        <w:t>Tartu valla arengudokumentide koostamise, menetlemise, vastuvõtmise ning avalikustamise kord</w:t>
      </w:r>
      <w:bookmarkEnd w:id="4"/>
      <w:r w:rsidRPr="0007050E">
        <w:rPr>
          <w:rFonts w:ascii="Arial" w:eastAsia="Times New Roman" w:hAnsi="Arial" w:cs="Arial"/>
          <w:color w:val="auto"/>
          <w:kern w:val="36"/>
          <w:sz w:val="24"/>
          <w:szCs w:val="24"/>
          <w:lang w:eastAsia="et-EE"/>
        </w:rPr>
        <w:t>“</w:t>
      </w:r>
      <w:r w:rsidRPr="0007050E">
        <w:rPr>
          <w:rStyle w:val="Allmrkuseviide"/>
          <w:rFonts w:ascii="Arial" w:eastAsia="Times New Roman" w:hAnsi="Arial" w:cs="Arial"/>
          <w:color w:val="auto"/>
          <w:kern w:val="36"/>
          <w:sz w:val="24"/>
          <w:szCs w:val="24"/>
          <w:lang w:eastAsia="et-EE"/>
        </w:rPr>
        <w:footnoteReference w:id="2"/>
      </w:r>
      <w:bookmarkEnd w:id="3"/>
    </w:p>
    <w:p w14:paraId="3510134F" w14:textId="073E175B" w:rsidR="00FD1DCC" w:rsidRPr="009340F2" w:rsidRDefault="00FD1DCC" w:rsidP="0092720F">
      <w:pPr>
        <w:spacing w:line="240" w:lineRule="auto"/>
        <w:jc w:val="both"/>
        <w:rPr>
          <w:rFonts w:ascii="Arial" w:hAnsi="Arial" w:cs="Arial"/>
          <w:sz w:val="24"/>
          <w:szCs w:val="24"/>
        </w:rPr>
      </w:pPr>
      <w:r w:rsidRPr="009340F2">
        <w:rPr>
          <w:rFonts w:ascii="Arial" w:hAnsi="Arial" w:cs="Arial"/>
          <w:sz w:val="24"/>
          <w:szCs w:val="24"/>
        </w:rPr>
        <w:t xml:space="preserve">Eelarvestrateegia annab ülevaate Tartu valla arvestusüksuse finantsseisust, prognoosib tuleviku rahavoogude kujunemist, sätestab finantsdistsipliini tagamise meetmed ja mängib läbi võimalikud riskistsenaariumid ehk võimaldab teha otsuseid arengu kavandamisel. </w:t>
      </w:r>
    </w:p>
    <w:p w14:paraId="44C19D88" w14:textId="36C77330" w:rsidR="00FD1DCC" w:rsidRDefault="00F14FC3" w:rsidP="0092720F">
      <w:pPr>
        <w:spacing w:line="240" w:lineRule="auto"/>
        <w:jc w:val="both"/>
        <w:rPr>
          <w:rFonts w:ascii="Arial" w:hAnsi="Arial" w:cs="Arial"/>
          <w:sz w:val="24"/>
          <w:szCs w:val="24"/>
        </w:rPr>
      </w:pPr>
      <w:r w:rsidRPr="00F14FC3">
        <w:rPr>
          <w:rFonts w:ascii="Arial" w:hAnsi="Arial" w:cs="Arial"/>
          <w:sz w:val="24"/>
          <w:szCs w:val="24"/>
        </w:rPr>
        <w:t xml:space="preserve">Kasutatud on Statistikaameti, Eesti Töötukassa ja Rahandusministeeriumi kodulehtedel avaldatud andmeid ning </w:t>
      </w:r>
      <w:r w:rsidR="00DF3215">
        <w:rPr>
          <w:rFonts w:ascii="Arial" w:hAnsi="Arial" w:cs="Arial"/>
          <w:sz w:val="24"/>
          <w:szCs w:val="24"/>
        </w:rPr>
        <w:t>R</w:t>
      </w:r>
      <w:r w:rsidRPr="00F14FC3">
        <w:rPr>
          <w:rFonts w:ascii="Arial" w:hAnsi="Arial" w:cs="Arial"/>
          <w:sz w:val="24"/>
          <w:szCs w:val="24"/>
        </w:rPr>
        <w:t>ahandusministeeriumi 202</w:t>
      </w:r>
      <w:r w:rsidR="00D60964">
        <w:rPr>
          <w:rFonts w:ascii="Arial" w:hAnsi="Arial" w:cs="Arial"/>
          <w:sz w:val="24"/>
          <w:szCs w:val="24"/>
        </w:rPr>
        <w:t>4</w:t>
      </w:r>
      <w:r w:rsidRPr="00F14FC3">
        <w:rPr>
          <w:rFonts w:ascii="Arial" w:hAnsi="Arial" w:cs="Arial"/>
          <w:sz w:val="24"/>
          <w:szCs w:val="24"/>
        </w:rPr>
        <w:t xml:space="preserve">. aasta </w:t>
      </w:r>
      <w:r w:rsidR="00D60964">
        <w:rPr>
          <w:rFonts w:ascii="Arial" w:hAnsi="Arial" w:cs="Arial"/>
          <w:sz w:val="24"/>
          <w:szCs w:val="24"/>
        </w:rPr>
        <w:t xml:space="preserve">kevadist </w:t>
      </w:r>
      <w:r w:rsidR="00CA3A04">
        <w:rPr>
          <w:rFonts w:ascii="Arial" w:hAnsi="Arial" w:cs="Arial"/>
          <w:sz w:val="24"/>
          <w:szCs w:val="24"/>
        </w:rPr>
        <w:t xml:space="preserve">(04.04.2024.a) </w:t>
      </w:r>
      <w:r w:rsidRPr="00F14FC3">
        <w:rPr>
          <w:rFonts w:ascii="Arial" w:hAnsi="Arial" w:cs="Arial"/>
          <w:sz w:val="24"/>
          <w:szCs w:val="24"/>
        </w:rPr>
        <w:t>majandusprognoosi.</w:t>
      </w:r>
      <w:r w:rsidR="00B86784">
        <w:rPr>
          <w:rFonts w:ascii="Arial" w:hAnsi="Arial" w:cs="Arial"/>
          <w:sz w:val="24"/>
          <w:szCs w:val="24"/>
        </w:rPr>
        <w:t xml:space="preserve"> Eelarvestrateegia</w:t>
      </w:r>
      <w:r w:rsidR="00751D3E">
        <w:rPr>
          <w:rFonts w:ascii="Arial" w:hAnsi="Arial" w:cs="Arial"/>
          <w:sz w:val="24"/>
          <w:szCs w:val="24"/>
        </w:rPr>
        <w:t xml:space="preserve"> aastateks 202</w:t>
      </w:r>
      <w:r w:rsidR="00CA3A04">
        <w:rPr>
          <w:rFonts w:ascii="Arial" w:hAnsi="Arial" w:cs="Arial"/>
          <w:sz w:val="24"/>
          <w:szCs w:val="24"/>
        </w:rPr>
        <w:t>4</w:t>
      </w:r>
      <w:r w:rsidR="00751D3E">
        <w:rPr>
          <w:rFonts w:ascii="Arial" w:hAnsi="Arial" w:cs="Arial"/>
          <w:sz w:val="24"/>
          <w:szCs w:val="24"/>
        </w:rPr>
        <w:t>-202</w:t>
      </w:r>
      <w:r w:rsidR="00CA3A04">
        <w:rPr>
          <w:rFonts w:ascii="Arial" w:hAnsi="Arial" w:cs="Arial"/>
          <w:sz w:val="24"/>
          <w:szCs w:val="24"/>
        </w:rPr>
        <w:t>8</w:t>
      </w:r>
      <w:r w:rsidR="00751D3E">
        <w:rPr>
          <w:rFonts w:ascii="Arial" w:hAnsi="Arial" w:cs="Arial"/>
          <w:sz w:val="24"/>
          <w:szCs w:val="24"/>
        </w:rPr>
        <w:t xml:space="preserve"> on koostatud tekkepõhiselt.</w:t>
      </w:r>
      <w:r w:rsidR="00B86784">
        <w:rPr>
          <w:rFonts w:ascii="Arial" w:hAnsi="Arial" w:cs="Arial"/>
          <w:sz w:val="24"/>
          <w:szCs w:val="24"/>
        </w:rPr>
        <w:t xml:space="preserve"> </w:t>
      </w:r>
      <w:r w:rsidR="00487D50">
        <w:rPr>
          <w:rFonts w:ascii="Arial" w:hAnsi="Arial" w:cs="Arial"/>
          <w:sz w:val="24"/>
          <w:szCs w:val="24"/>
        </w:rPr>
        <w:t>Kõik rahalised näitajad eelarvestrateegia tabelites on toodud eurodes.</w:t>
      </w:r>
    </w:p>
    <w:p w14:paraId="26B3F9BF" w14:textId="026E2EED" w:rsidR="00DE1973" w:rsidRPr="0047765E" w:rsidRDefault="002D6E70" w:rsidP="00992BE1">
      <w:pPr>
        <w:pStyle w:val="Pealkiri2"/>
        <w:numPr>
          <w:ilvl w:val="0"/>
          <w:numId w:val="16"/>
        </w:numPr>
        <w:rPr>
          <w:b/>
          <w:bCs/>
          <w:sz w:val="32"/>
          <w:szCs w:val="32"/>
        </w:rPr>
      </w:pPr>
      <w:bookmarkStart w:id="5" w:name="_Toc173767785"/>
      <w:r w:rsidRPr="0047765E">
        <w:rPr>
          <w:b/>
          <w:bCs/>
          <w:sz w:val="32"/>
          <w:szCs w:val="32"/>
        </w:rPr>
        <w:t>Ülevaade hetke majanduslikust olukorrast</w:t>
      </w:r>
      <w:bookmarkEnd w:id="5"/>
    </w:p>
    <w:p w14:paraId="024FF802" w14:textId="77777777" w:rsidR="008D717F" w:rsidRPr="008D717F" w:rsidRDefault="008D717F" w:rsidP="008D717F"/>
    <w:p w14:paraId="68736B38" w14:textId="2E08F595" w:rsidR="007F1F6D" w:rsidRDefault="00BE2644" w:rsidP="00FB21E0">
      <w:pPr>
        <w:spacing w:line="240" w:lineRule="auto"/>
        <w:jc w:val="both"/>
        <w:rPr>
          <w:rFonts w:ascii="Arial" w:hAnsi="Arial" w:cs="Arial"/>
        </w:rPr>
      </w:pPr>
      <w:r w:rsidRPr="00BE2644">
        <w:rPr>
          <w:rFonts w:ascii="Arial" w:hAnsi="Arial" w:cs="Arial"/>
          <w:sz w:val="24"/>
          <w:szCs w:val="24"/>
        </w:rPr>
        <w:t>Eesti majandus langes 2023. aastal 3%</w:t>
      </w:r>
      <w:r w:rsidR="00D53BCB">
        <w:rPr>
          <w:rFonts w:ascii="Arial" w:hAnsi="Arial" w:cs="Arial"/>
          <w:sz w:val="24"/>
          <w:szCs w:val="24"/>
        </w:rPr>
        <w:t xml:space="preserve">.Rahandusministeeriumi prognoosi kohaselt </w:t>
      </w:r>
      <w:r w:rsidR="00D014F9">
        <w:rPr>
          <w:rFonts w:ascii="Arial" w:hAnsi="Arial" w:cs="Arial"/>
          <w:sz w:val="24"/>
          <w:szCs w:val="24"/>
        </w:rPr>
        <w:t xml:space="preserve">selle aasta kokkuvõttes jääb majanduse reaalne maht enam-vähem 2023.a tasemele, kuid </w:t>
      </w:r>
      <w:r w:rsidR="00DF0401" w:rsidRPr="00DF0401">
        <w:rPr>
          <w:rFonts w:ascii="Arial" w:hAnsi="Arial" w:cs="Arial"/>
          <w:sz w:val="24"/>
          <w:szCs w:val="24"/>
        </w:rPr>
        <w:t xml:space="preserve">majandus pöördub aastases võrdluses kasvule selle aasta teises pooles, kui peaksid paranema nii </w:t>
      </w:r>
      <w:proofErr w:type="spellStart"/>
      <w:r w:rsidR="00DF0401" w:rsidRPr="00DF0401">
        <w:rPr>
          <w:rFonts w:ascii="Arial" w:hAnsi="Arial" w:cs="Arial"/>
          <w:sz w:val="24"/>
          <w:szCs w:val="24"/>
        </w:rPr>
        <w:t>välisnõudlus</w:t>
      </w:r>
      <w:proofErr w:type="spellEnd"/>
      <w:r w:rsidR="00DF0401" w:rsidRPr="00DF0401">
        <w:rPr>
          <w:rFonts w:ascii="Arial" w:hAnsi="Arial" w:cs="Arial"/>
          <w:sz w:val="24"/>
          <w:szCs w:val="24"/>
        </w:rPr>
        <w:t xml:space="preserve"> kui ka majapidamiste tarbimisvõimalused. </w:t>
      </w:r>
      <w:r w:rsidR="00DF0401" w:rsidRPr="00DF0401">
        <w:rPr>
          <w:rFonts w:ascii="Arial" w:hAnsi="Arial" w:cs="Arial"/>
          <w:sz w:val="24"/>
          <w:szCs w:val="24"/>
        </w:rPr>
        <w:lastRenderedPageBreak/>
        <w:t>2025.aastaks ootame 3,3protsendilist majanduskasvu. Järgmistel aastatel on kasv aeglasem kui 3%.</w:t>
      </w:r>
      <w:r w:rsidR="00043252">
        <w:rPr>
          <w:rFonts w:ascii="Arial" w:hAnsi="Arial" w:cs="Arial"/>
          <w:sz w:val="24"/>
          <w:szCs w:val="24"/>
        </w:rPr>
        <w:t xml:space="preserve"> </w:t>
      </w:r>
      <w:bookmarkStart w:id="6" w:name="_Hlk142304892"/>
    </w:p>
    <w:p w14:paraId="495D6F78" w14:textId="375F9211" w:rsidR="00203CCB" w:rsidRDefault="00203CCB" w:rsidP="002D6E70">
      <w:pPr>
        <w:rPr>
          <w:rFonts w:ascii="Arial" w:hAnsi="Arial" w:cs="Arial"/>
        </w:rPr>
      </w:pPr>
      <w:r w:rsidRPr="00FE535A">
        <w:rPr>
          <w:rFonts w:ascii="Arial" w:hAnsi="Arial" w:cs="Arial"/>
        </w:rPr>
        <w:t>Tabel 1. Sisemajanduse koguprodukti prognoos 202</w:t>
      </w:r>
      <w:r w:rsidR="00CE675F">
        <w:rPr>
          <w:rFonts w:ascii="Arial" w:hAnsi="Arial" w:cs="Arial"/>
        </w:rPr>
        <w:t>4</w:t>
      </w:r>
      <w:r w:rsidRPr="00FE535A">
        <w:rPr>
          <w:rFonts w:ascii="Arial" w:hAnsi="Arial" w:cs="Arial"/>
        </w:rPr>
        <w:t>-202</w:t>
      </w:r>
      <w:r w:rsidR="00CE675F">
        <w:rPr>
          <w:rFonts w:ascii="Arial" w:hAnsi="Arial" w:cs="Arial"/>
        </w:rPr>
        <w:t>8</w:t>
      </w:r>
    </w:p>
    <w:tbl>
      <w:tblPr>
        <w:tblW w:w="9640" w:type="dxa"/>
        <w:tblCellMar>
          <w:left w:w="70" w:type="dxa"/>
          <w:right w:w="70" w:type="dxa"/>
        </w:tblCellMar>
        <w:tblLook w:val="04A0" w:firstRow="1" w:lastRow="0" w:firstColumn="1" w:lastColumn="0" w:noHBand="0" w:noVBand="1"/>
      </w:tblPr>
      <w:tblGrid>
        <w:gridCol w:w="3820"/>
        <w:gridCol w:w="960"/>
        <w:gridCol w:w="740"/>
        <w:gridCol w:w="680"/>
        <w:gridCol w:w="640"/>
        <w:gridCol w:w="720"/>
        <w:gridCol w:w="680"/>
        <w:gridCol w:w="700"/>
        <w:gridCol w:w="700"/>
      </w:tblGrid>
      <w:tr w:rsidR="00A2360C" w:rsidRPr="00A2360C" w14:paraId="7CBCFDDD" w14:textId="77777777" w:rsidTr="00A2360C">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D9830"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6843CAF" w14:textId="77777777" w:rsidR="00A2360C" w:rsidRPr="00A2360C" w:rsidRDefault="00A2360C" w:rsidP="00A2360C">
            <w:pPr>
              <w:spacing w:after="0" w:line="240" w:lineRule="auto"/>
              <w:jc w:val="right"/>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2011–2021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5A18D7D8" w14:textId="77777777" w:rsidR="00A2360C" w:rsidRPr="00A2360C" w:rsidRDefault="00A2360C" w:rsidP="00A2360C">
            <w:pPr>
              <w:spacing w:after="0" w:line="240" w:lineRule="auto"/>
              <w:jc w:val="right"/>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2022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61D643F" w14:textId="77777777" w:rsidR="00A2360C" w:rsidRPr="00A2360C" w:rsidRDefault="00A2360C" w:rsidP="00A2360C">
            <w:pPr>
              <w:spacing w:after="0" w:line="240" w:lineRule="auto"/>
              <w:jc w:val="right"/>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2023</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309B7225" w14:textId="77777777" w:rsidR="00A2360C" w:rsidRPr="00A2360C" w:rsidRDefault="00A2360C" w:rsidP="00A2360C">
            <w:pPr>
              <w:spacing w:after="0" w:line="240" w:lineRule="auto"/>
              <w:jc w:val="right"/>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2024</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676C431" w14:textId="77777777" w:rsidR="00A2360C" w:rsidRPr="00A2360C" w:rsidRDefault="00A2360C" w:rsidP="00A2360C">
            <w:pPr>
              <w:spacing w:after="0" w:line="240" w:lineRule="auto"/>
              <w:jc w:val="right"/>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2025</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55161F8" w14:textId="77777777" w:rsidR="00A2360C" w:rsidRPr="00A2360C" w:rsidRDefault="00A2360C" w:rsidP="00A2360C">
            <w:pPr>
              <w:spacing w:after="0" w:line="240" w:lineRule="auto"/>
              <w:jc w:val="right"/>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2026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E283C96" w14:textId="77777777" w:rsidR="00A2360C" w:rsidRPr="00A2360C" w:rsidRDefault="00A2360C" w:rsidP="00A2360C">
            <w:pPr>
              <w:spacing w:after="0" w:line="240" w:lineRule="auto"/>
              <w:jc w:val="right"/>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2027</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8A92A00" w14:textId="77777777" w:rsidR="00A2360C" w:rsidRPr="00A2360C" w:rsidRDefault="00A2360C" w:rsidP="00A2360C">
            <w:pPr>
              <w:spacing w:after="0" w:line="240" w:lineRule="auto"/>
              <w:jc w:val="right"/>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2028</w:t>
            </w:r>
          </w:p>
        </w:tc>
      </w:tr>
      <w:tr w:rsidR="00A2360C" w:rsidRPr="00A2360C" w14:paraId="7BD73114" w14:textId="77777777" w:rsidTr="00A2360C">
        <w:trPr>
          <w:trHeight w:val="300"/>
        </w:trPr>
        <w:tc>
          <w:tcPr>
            <w:tcW w:w="3820" w:type="dxa"/>
            <w:tcBorders>
              <w:top w:val="nil"/>
              <w:left w:val="single" w:sz="4" w:space="0" w:color="auto"/>
              <w:bottom w:val="single" w:sz="4" w:space="0" w:color="auto"/>
              <w:right w:val="single" w:sz="4" w:space="0" w:color="auto"/>
            </w:tcBorders>
            <w:shd w:val="clear" w:color="000000" w:fill="D9D9D6"/>
            <w:vAlign w:val="center"/>
            <w:hideMark/>
          </w:tcPr>
          <w:p w14:paraId="79640C81"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sz w:val="18"/>
                <w:szCs w:val="18"/>
                <w:lang w:eastAsia="et-EE"/>
              </w:rPr>
              <w:t>1. SKP reaalkasv</w:t>
            </w:r>
          </w:p>
        </w:tc>
        <w:tc>
          <w:tcPr>
            <w:tcW w:w="960" w:type="dxa"/>
            <w:tcBorders>
              <w:top w:val="nil"/>
              <w:left w:val="nil"/>
              <w:bottom w:val="single" w:sz="4" w:space="0" w:color="auto"/>
              <w:right w:val="single" w:sz="4" w:space="0" w:color="auto"/>
            </w:tcBorders>
            <w:shd w:val="clear" w:color="000000" w:fill="D9D9D6"/>
            <w:vAlign w:val="center"/>
            <w:hideMark/>
          </w:tcPr>
          <w:p w14:paraId="0E40AF9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3,6</w:t>
            </w:r>
          </w:p>
        </w:tc>
        <w:tc>
          <w:tcPr>
            <w:tcW w:w="740" w:type="dxa"/>
            <w:tcBorders>
              <w:top w:val="nil"/>
              <w:left w:val="nil"/>
              <w:bottom w:val="single" w:sz="4" w:space="0" w:color="auto"/>
              <w:right w:val="single" w:sz="4" w:space="0" w:color="auto"/>
            </w:tcBorders>
            <w:shd w:val="clear" w:color="000000" w:fill="D9D9D6"/>
            <w:vAlign w:val="center"/>
            <w:hideMark/>
          </w:tcPr>
          <w:p w14:paraId="629C2D8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-0,5</w:t>
            </w:r>
          </w:p>
        </w:tc>
        <w:tc>
          <w:tcPr>
            <w:tcW w:w="680" w:type="dxa"/>
            <w:tcBorders>
              <w:top w:val="nil"/>
              <w:left w:val="nil"/>
              <w:bottom w:val="single" w:sz="4" w:space="0" w:color="auto"/>
              <w:right w:val="single" w:sz="4" w:space="0" w:color="auto"/>
            </w:tcBorders>
            <w:shd w:val="clear" w:color="000000" w:fill="D9D9D6"/>
            <w:vAlign w:val="center"/>
            <w:hideMark/>
          </w:tcPr>
          <w:p w14:paraId="1C8ABA4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w:t>
            </w:r>
          </w:p>
        </w:tc>
        <w:tc>
          <w:tcPr>
            <w:tcW w:w="640" w:type="dxa"/>
            <w:tcBorders>
              <w:top w:val="nil"/>
              <w:left w:val="nil"/>
              <w:bottom w:val="single" w:sz="4" w:space="0" w:color="auto"/>
              <w:right w:val="single" w:sz="4" w:space="0" w:color="auto"/>
            </w:tcBorders>
            <w:shd w:val="clear" w:color="000000" w:fill="D9D9D6"/>
            <w:vAlign w:val="center"/>
            <w:hideMark/>
          </w:tcPr>
          <w:p w14:paraId="11191EC5"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w:t>
            </w:r>
          </w:p>
        </w:tc>
        <w:tc>
          <w:tcPr>
            <w:tcW w:w="720" w:type="dxa"/>
            <w:tcBorders>
              <w:top w:val="nil"/>
              <w:left w:val="nil"/>
              <w:bottom w:val="single" w:sz="4" w:space="0" w:color="auto"/>
              <w:right w:val="single" w:sz="4" w:space="0" w:color="auto"/>
            </w:tcBorders>
            <w:shd w:val="clear" w:color="000000" w:fill="D9D9D6"/>
            <w:vAlign w:val="center"/>
            <w:hideMark/>
          </w:tcPr>
          <w:p w14:paraId="0BBE3167"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3,3</w:t>
            </w:r>
          </w:p>
        </w:tc>
        <w:tc>
          <w:tcPr>
            <w:tcW w:w="680" w:type="dxa"/>
            <w:tcBorders>
              <w:top w:val="nil"/>
              <w:left w:val="nil"/>
              <w:bottom w:val="single" w:sz="4" w:space="0" w:color="auto"/>
              <w:right w:val="single" w:sz="4" w:space="0" w:color="auto"/>
            </w:tcBorders>
            <w:shd w:val="clear" w:color="000000" w:fill="D9D9D6"/>
            <w:vAlign w:val="center"/>
            <w:hideMark/>
          </w:tcPr>
          <w:p w14:paraId="1A79FAFC"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2,8</w:t>
            </w:r>
          </w:p>
        </w:tc>
        <w:tc>
          <w:tcPr>
            <w:tcW w:w="700" w:type="dxa"/>
            <w:tcBorders>
              <w:top w:val="nil"/>
              <w:left w:val="nil"/>
              <w:bottom w:val="single" w:sz="4" w:space="0" w:color="auto"/>
              <w:right w:val="single" w:sz="4" w:space="0" w:color="auto"/>
            </w:tcBorders>
            <w:shd w:val="clear" w:color="000000" w:fill="D9D9D6"/>
            <w:vAlign w:val="center"/>
            <w:hideMark/>
          </w:tcPr>
          <w:p w14:paraId="549E62B9"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2,5</w:t>
            </w:r>
          </w:p>
        </w:tc>
        <w:tc>
          <w:tcPr>
            <w:tcW w:w="700" w:type="dxa"/>
            <w:tcBorders>
              <w:top w:val="nil"/>
              <w:left w:val="nil"/>
              <w:bottom w:val="single" w:sz="4" w:space="0" w:color="auto"/>
              <w:right w:val="single" w:sz="4" w:space="0" w:color="auto"/>
            </w:tcBorders>
            <w:shd w:val="clear" w:color="000000" w:fill="D9D9D6"/>
            <w:vAlign w:val="center"/>
            <w:hideMark/>
          </w:tcPr>
          <w:p w14:paraId="5B3E307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2,5</w:t>
            </w:r>
          </w:p>
        </w:tc>
      </w:tr>
      <w:tr w:rsidR="00A2360C" w:rsidRPr="00A2360C" w14:paraId="42ACFCC9" w14:textId="77777777" w:rsidTr="00A2360C">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0982CE45"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1a. SKP püsivhindades (mld eurot)</w:t>
            </w:r>
          </w:p>
        </w:tc>
        <w:tc>
          <w:tcPr>
            <w:tcW w:w="960" w:type="dxa"/>
            <w:tcBorders>
              <w:top w:val="nil"/>
              <w:left w:val="nil"/>
              <w:bottom w:val="single" w:sz="4" w:space="0" w:color="auto"/>
              <w:right w:val="single" w:sz="4" w:space="0" w:color="auto"/>
            </w:tcBorders>
            <w:shd w:val="clear" w:color="auto" w:fill="auto"/>
            <w:vAlign w:val="center"/>
            <w:hideMark/>
          </w:tcPr>
          <w:p w14:paraId="7A2FE63C"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40" w:type="dxa"/>
            <w:tcBorders>
              <w:top w:val="nil"/>
              <w:left w:val="nil"/>
              <w:bottom w:val="single" w:sz="4" w:space="0" w:color="auto"/>
              <w:right w:val="single" w:sz="4" w:space="0" w:color="auto"/>
            </w:tcBorders>
            <w:shd w:val="clear" w:color="auto" w:fill="auto"/>
            <w:vAlign w:val="center"/>
            <w:hideMark/>
          </w:tcPr>
          <w:p w14:paraId="1AA07C57"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25,7</w:t>
            </w:r>
          </w:p>
        </w:tc>
        <w:tc>
          <w:tcPr>
            <w:tcW w:w="680" w:type="dxa"/>
            <w:tcBorders>
              <w:top w:val="nil"/>
              <w:left w:val="nil"/>
              <w:bottom w:val="single" w:sz="4" w:space="0" w:color="auto"/>
              <w:right w:val="single" w:sz="4" w:space="0" w:color="auto"/>
            </w:tcBorders>
            <w:shd w:val="clear" w:color="auto" w:fill="auto"/>
            <w:vAlign w:val="center"/>
            <w:hideMark/>
          </w:tcPr>
          <w:p w14:paraId="19CEE8DA"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24,9</w:t>
            </w:r>
          </w:p>
        </w:tc>
        <w:tc>
          <w:tcPr>
            <w:tcW w:w="640" w:type="dxa"/>
            <w:tcBorders>
              <w:top w:val="nil"/>
              <w:left w:val="nil"/>
              <w:bottom w:val="single" w:sz="4" w:space="0" w:color="auto"/>
              <w:right w:val="single" w:sz="4" w:space="0" w:color="auto"/>
            </w:tcBorders>
            <w:shd w:val="clear" w:color="auto" w:fill="auto"/>
            <w:vAlign w:val="center"/>
            <w:hideMark/>
          </w:tcPr>
          <w:p w14:paraId="31C7C57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24,9</w:t>
            </w:r>
          </w:p>
        </w:tc>
        <w:tc>
          <w:tcPr>
            <w:tcW w:w="720" w:type="dxa"/>
            <w:tcBorders>
              <w:top w:val="nil"/>
              <w:left w:val="nil"/>
              <w:bottom w:val="single" w:sz="4" w:space="0" w:color="auto"/>
              <w:right w:val="single" w:sz="4" w:space="0" w:color="auto"/>
            </w:tcBorders>
            <w:shd w:val="clear" w:color="auto" w:fill="auto"/>
            <w:vAlign w:val="center"/>
            <w:hideMark/>
          </w:tcPr>
          <w:p w14:paraId="57EF5101"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25,8</w:t>
            </w:r>
          </w:p>
        </w:tc>
        <w:tc>
          <w:tcPr>
            <w:tcW w:w="680" w:type="dxa"/>
            <w:tcBorders>
              <w:top w:val="nil"/>
              <w:left w:val="nil"/>
              <w:bottom w:val="single" w:sz="4" w:space="0" w:color="auto"/>
              <w:right w:val="single" w:sz="4" w:space="0" w:color="auto"/>
            </w:tcBorders>
            <w:shd w:val="clear" w:color="auto" w:fill="auto"/>
            <w:vAlign w:val="center"/>
            <w:hideMark/>
          </w:tcPr>
          <w:p w14:paraId="130366FC"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26,5</w:t>
            </w:r>
          </w:p>
        </w:tc>
        <w:tc>
          <w:tcPr>
            <w:tcW w:w="700" w:type="dxa"/>
            <w:tcBorders>
              <w:top w:val="nil"/>
              <w:left w:val="nil"/>
              <w:bottom w:val="single" w:sz="4" w:space="0" w:color="auto"/>
              <w:right w:val="single" w:sz="4" w:space="0" w:color="auto"/>
            </w:tcBorders>
            <w:shd w:val="clear" w:color="auto" w:fill="auto"/>
            <w:vAlign w:val="center"/>
            <w:hideMark/>
          </w:tcPr>
          <w:p w14:paraId="0492A04D"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27,1</w:t>
            </w:r>
          </w:p>
        </w:tc>
        <w:tc>
          <w:tcPr>
            <w:tcW w:w="700" w:type="dxa"/>
            <w:tcBorders>
              <w:top w:val="nil"/>
              <w:left w:val="nil"/>
              <w:bottom w:val="single" w:sz="4" w:space="0" w:color="auto"/>
              <w:right w:val="single" w:sz="4" w:space="0" w:color="auto"/>
            </w:tcBorders>
            <w:shd w:val="clear" w:color="auto" w:fill="auto"/>
            <w:vAlign w:val="center"/>
            <w:hideMark/>
          </w:tcPr>
          <w:p w14:paraId="081C59C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27,8</w:t>
            </w:r>
          </w:p>
        </w:tc>
      </w:tr>
      <w:tr w:rsidR="00A2360C" w:rsidRPr="00A2360C" w14:paraId="10B57537" w14:textId="77777777" w:rsidTr="00A2360C">
        <w:trPr>
          <w:trHeight w:val="300"/>
        </w:trPr>
        <w:tc>
          <w:tcPr>
            <w:tcW w:w="3820" w:type="dxa"/>
            <w:tcBorders>
              <w:top w:val="nil"/>
              <w:left w:val="single" w:sz="4" w:space="0" w:color="auto"/>
              <w:bottom w:val="single" w:sz="4" w:space="0" w:color="auto"/>
              <w:right w:val="single" w:sz="4" w:space="0" w:color="auto"/>
            </w:tcBorders>
            <w:shd w:val="clear" w:color="000000" w:fill="D9D9D6"/>
            <w:vAlign w:val="center"/>
            <w:hideMark/>
          </w:tcPr>
          <w:p w14:paraId="016A8E87"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sz w:val="18"/>
                <w:szCs w:val="18"/>
                <w:lang w:eastAsia="et-EE"/>
              </w:rPr>
              <w:t>2. SKP nominaalkasv</w:t>
            </w:r>
          </w:p>
        </w:tc>
        <w:tc>
          <w:tcPr>
            <w:tcW w:w="960" w:type="dxa"/>
            <w:tcBorders>
              <w:top w:val="nil"/>
              <w:left w:val="nil"/>
              <w:bottom w:val="single" w:sz="4" w:space="0" w:color="auto"/>
              <w:right w:val="single" w:sz="4" w:space="0" w:color="auto"/>
            </w:tcBorders>
            <w:shd w:val="clear" w:color="000000" w:fill="D9D9D6"/>
            <w:vAlign w:val="center"/>
            <w:hideMark/>
          </w:tcPr>
          <w:p w14:paraId="6FEA8CE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7,1</w:t>
            </w:r>
          </w:p>
        </w:tc>
        <w:tc>
          <w:tcPr>
            <w:tcW w:w="740" w:type="dxa"/>
            <w:tcBorders>
              <w:top w:val="nil"/>
              <w:left w:val="nil"/>
              <w:bottom w:val="single" w:sz="4" w:space="0" w:color="auto"/>
              <w:right w:val="single" w:sz="4" w:space="0" w:color="auto"/>
            </w:tcBorders>
            <w:shd w:val="clear" w:color="000000" w:fill="D9D9D6"/>
            <w:vAlign w:val="center"/>
            <w:hideMark/>
          </w:tcPr>
          <w:p w14:paraId="142CA58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15,5</w:t>
            </w:r>
          </w:p>
        </w:tc>
        <w:tc>
          <w:tcPr>
            <w:tcW w:w="680" w:type="dxa"/>
            <w:tcBorders>
              <w:top w:val="nil"/>
              <w:left w:val="nil"/>
              <w:bottom w:val="single" w:sz="4" w:space="0" w:color="auto"/>
              <w:right w:val="single" w:sz="4" w:space="0" w:color="auto"/>
            </w:tcBorders>
            <w:shd w:val="clear" w:color="000000" w:fill="D9D9D6"/>
            <w:vAlign w:val="center"/>
            <w:hideMark/>
          </w:tcPr>
          <w:p w14:paraId="0FD62999"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4,6</w:t>
            </w:r>
          </w:p>
        </w:tc>
        <w:tc>
          <w:tcPr>
            <w:tcW w:w="640" w:type="dxa"/>
            <w:tcBorders>
              <w:top w:val="nil"/>
              <w:left w:val="nil"/>
              <w:bottom w:val="single" w:sz="4" w:space="0" w:color="auto"/>
              <w:right w:val="single" w:sz="4" w:space="0" w:color="auto"/>
            </w:tcBorders>
            <w:shd w:val="clear" w:color="000000" w:fill="D9D9D6"/>
            <w:vAlign w:val="center"/>
            <w:hideMark/>
          </w:tcPr>
          <w:p w14:paraId="26067CF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4,1</w:t>
            </w:r>
          </w:p>
        </w:tc>
        <w:tc>
          <w:tcPr>
            <w:tcW w:w="720" w:type="dxa"/>
            <w:tcBorders>
              <w:top w:val="nil"/>
              <w:left w:val="nil"/>
              <w:bottom w:val="single" w:sz="4" w:space="0" w:color="auto"/>
              <w:right w:val="single" w:sz="4" w:space="0" w:color="auto"/>
            </w:tcBorders>
            <w:shd w:val="clear" w:color="000000" w:fill="D9D9D6"/>
            <w:vAlign w:val="center"/>
            <w:hideMark/>
          </w:tcPr>
          <w:p w14:paraId="61F5EEC5"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6,2</w:t>
            </w:r>
          </w:p>
        </w:tc>
        <w:tc>
          <w:tcPr>
            <w:tcW w:w="680" w:type="dxa"/>
            <w:tcBorders>
              <w:top w:val="nil"/>
              <w:left w:val="nil"/>
              <w:bottom w:val="single" w:sz="4" w:space="0" w:color="auto"/>
              <w:right w:val="single" w:sz="4" w:space="0" w:color="auto"/>
            </w:tcBorders>
            <w:shd w:val="clear" w:color="000000" w:fill="D9D9D6"/>
            <w:vAlign w:val="center"/>
            <w:hideMark/>
          </w:tcPr>
          <w:p w14:paraId="32D5D4E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5,1</w:t>
            </w:r>
          </w:p>
        </w:tc>
        <w:tc>
          <w:tcPr>
            <w:tcW w:w="700" w:type="dxa"/>
            <w:tcBorders>
              <w:top w:val="nil"/>
              <w:left w:val="nil"/>
              <w:bottom w:val="single" w:sz="4" w:space="0" w:color="auto"/>
              <w:right w:val="single" w:sz="4" w:space="0" w:color="auto"/>
            </w:tcBorders>
            <w:shd w:val="clear" w:color="000000" w:fill="D9D9D6"/>
            <w:vAlign w:val="center"/>
            <w:hideMark/>
          </w:tcPr>
          <w:p w14:paraId="5054A95C"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4,8</w:t>
            </w:r>
          </w:p>
        </w:tc>
        <w:tc>
          <w:tcPr>
            <w:tcW w:w="700" w:type="dxa"/>
            <w:tcBorders>
              <w:top w:val="nil"/>
              <w:left w:val="nil"/>
              <w:bottom w:val="single" w:sz="4" w:space="0" w:color="auto"/>
              <w:right w:val="single" w:sz="4" w:space="0" w:color="auto"/>
            </w:tcBorders>
            <w:shd w:val="clear" w:color="000000" w:fill="D9D9D6"/>
            <w:vAlign w:val="center"/>
            <w:hideMark/>
          </w:tcPr>
          <w:p w14:paraId="5AF1FE4B"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4,8</w:t>
            </w:r>
          </w:p>
        </w:tc>
      </w:tr>
      <w:tr w:rsidR="00A2360C" w:rsidRPr="00A2360C" w14:paraId="257E1F5A" w14:textId="77777777" w:rsidTr="00A2360C">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1C5E7D06"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2a. SKP jooksevhindades (mld eurot)</w:t>
            </w:r>
          </w:p>
        </w:tc>
        <w:tc>
          <w:tcPr>
            <w:tcW w:w="960" w:type="dxa"/>
            <w:tcBorders>
              <w:top w:val="nil"/>
              <w:left w:val="nil"/>
              <w:bottom w:val="single" w:sz="4" w:space="0" w:color="auto"/>
              <w:right w:val="single" w:sz="4" w:space="0" w:color="auto"/>
            </w:tcBorders>
            <w:shd w:val="clear" w:color="auto" w:fill="auto"/>
            <w:vAlign w:val="center"/>
            <w:hideMark/>
          </w:tcPr>
          <w:p w14:paraId="6FEF11F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40" w:type="dxa"/>
            <w:tcBorders>
              <w:top w:val="nil"/>
              <w:left w:val="nil"/>
              <w:bottom w:val="single" w:sz="4" w:space="0" w:color="auto"/>
              <w:right w:val="single" w:sz="4" w:space="0" w:color="auto"/>
            </w:tcBorders>
            <w:shd w:val="clear" w:color="auto" w:fill="auto"/>
            <w:vAlign w:val="center"/>
            <w:hideMark/>
          </w:tcPr>
          <w:p w14:paraId="41901E5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36</w:t>
            </w:r>
          </w:p>
        </w:tc>
        <w:tc>
          <w:tcPr>
            <w:tcW w:w="680" w:type="dxa"/>
            <w:tcBorders>
              <w:top w:val="nil"/>
              <w:left w:val="nil"/>
              <w:bottom w:val="single" w:sz="4" w:space="0" w:color="auto"/>
              <w:right w:val="single" w:sz="4" w:space="0" w:color="auto"/>
            </w:tcBorders>
            <w:shd w:val="clear" w:color="auto" w:fill="auto"/>
            <w:vAlign w:val="center"/>
            <w:hideMark/>
          </w:tcPr>
          <w:p w14:paraId="50E80CA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37,7</w:t>
            </w:r>
          </w:p>
        </w:tc>
        <w:tc>
          <w:tcPr>
            <w:tcW w:w="640" w:type="dxa"/>
            <w:tcBorders>
              <w:top w:val="nil"/>
              <w:left w:val="nil"/>
              <w:bottom w:val="single" w:sz="4" w:space="0" w:color="auto"/>
              <w:right w:val="single" w:sz="4" w:space="0" w:color="auto"/>
            </w:tcBorders>
            <w:shd w:val="clear" w:color="auto" w:fill="auto"/>
            <w:vAlign w:val="center"/>
            <w:hideMark/>
          </w:tcPr>
          <w:p w14:paraId="713931FC"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39,2</w:t>
            </w:r>
          </w:p>
        </w:tc>
        <w:tc>
          <w:tcPr>
            <w:tcW w:w="720" w:type="dxa"/>
            <w:tcBorders>
              <w:top w:val="nil"/>
              <w:left w:val="nil"/>
              <w:bottom w:val="single" w:sz="4" w:space="0" w:color="auto"/>
              <w:right w:val="single" w:sz="4" w:space="0" w:color="auto"/>
            </w:tcBorders>
            <w:shd w:val="clear" w:color="auto" w:fill="auto"/>
            <w:vAlign w:val="center"/>
            <w:hideMark/>
          </w:tcPr>
          <w:p w14:paraId="3A3F84E9"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41,6</w:t>
            </w:r>
          </w:p>
        </w:tc>
        <w:tc>
          <w:tcPr>
            <w:tcW w:w="680" w:type="dxa"/>
            <w:tcBorders>
              <w:top w:val="nil"/>
              <w:left w:val="nil"/>
              <w:bottom w:val="single" w:sz="4" w:space="0" w:color="auto"/>
              <w:right w:val="single" w:sz="4" w:space="0" w:color="auto"/>
            </w:tcBorders>
            <w:shd w:val="clear" w:color="auto" w:fill="auto"/>
            <w:vAlign w:val="center"/>
            <w:hideMark/>
          </w:tcPr>
          <w:p w14:paraId="31DABBE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43,8</w:t>
            </w:r>
          </w:p>
        </w:tc>
        <w:tc>
          <w:tcPr>
            <w:tcW w:w="700" w:type="dxa"/>
            <w:tcBorders>
              <w:top w:val="nil"/>
              <w:left w:val="nil"/>
              <w:bottom w:val="single" w:sz="4" w:space="0" w:color="auto"/>
              <w:right w:val="single" w:sz="4" w:space="0" w:color="auto"/>
            </w:tcBorders>
            <w:shd w:val="clear" w:color="auto" w:fill="auto"/>
            <w:vAlign w:val="center"/>
            <w:hideMark/>
          </w:tcPr>
          <w:p w14:paraId="2F6878C5"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45,9</w:t>
            </w:r>
          </w:p>
        </w:tc>
        <w:tc>
          <w:tcPr>
            <w:tcW w:w="700" w:type="dxa"/>
            <w:tcBorders>
              <w:top w:val="nil"/>
              <w:left w:val="nil"/>
              <w:bottom w:val="single" w:sz="4" w:space="0" w:color="auto"/>
              <w:right w:val="single" w:sz="4" w:space="0" w:color="auto"/>
            </w:tcBorders>
            <w:shd w:val="clear" w:color="auto" w:fill="auto"/>
            <w:vAlign w:val="center"/>
            <w:hideMark/>
          </w:tcPr>
          <w:p w14:paraId="55EDF934"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48,1</w:t>
            </w:r>
          </w:p>
        </w:tc>
      </w:tr>
      <w:tr w:rsidR="00A2360C" w:rsidRPr="00A2360C" w14:paraId="5FDB6CFF" w14:textId="77777777" w:rsidTr="00A2360C">
        <w:trPr>
          <w:trHeight w:val="300"/>
        </w:trPr>
        <w:tc>
          <w:tcPr>
            <w:tcW w:w="3820" w:type="dxa"/>
            <w:tcBorders>
              <w:top w:val="nil"/>
              <w:left w:val="single" w:sz="4" w:space="0" w:color="auto"/>
              <w:bottom w:val="single" w:sz="4" w:space="0" w:color="auto"/>
              <w:right w:val="single" w:sz="4" w:space="0" w:color="auto"/>
            </w:tcBorders>
            <w:shd w:val="clear" w:color="000000" w:fill="D9D9D6"/>
            <w:vAlign w:val="center"/>
            <w:hideMark/>
          </w:tcPr>
          <w:p w14:paraId="728582E7"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sz w:val="18"/>
                <w:szCs w:val="18"/>
                <w:lang w:eastAsia="et-EE"/>
              </w:rPr>
              <w:t>2b. RKP jooksevhindades (mld eurot)</w:t>
            </w:r>
          </w:p>
        </w:tc>
        <w:tc>
          <w:tcPr>
            <w:tcW w:w="960" w:type="dxa"/>
            <w:tcBorders>
              <w:top w:val="nil"/>
              <w:left w:val="nil"/>
              <w:bottom w:val="single" w:sz="4" w:space="0" w:color="auto"/>
              <w:right w:val="single" w:sz="4" w:space="0" w:color="auto"/>
            </w:tcBorders>
            <w:shd w:val="clear" w:color="000000" w:fill="D9D9D6"/>
            <w:vAlign w:val="center"/>
            <w:hideMark/>
          </w:tcPr>
          <w:p w14:paraId="06FBD58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40" w:type="dxa"/>
            <w:tcBorders>
              <w:top w:val="nil"/>
              <w:left w:val="nil"/>
              <w:bottom w:val="single" w:sz="4" w:space="0" w:color="auto"/>
              <w:right w:val="single" w:sz="4" w:space="0" w:color="auto"/>
            </w:tcBorders>
            <w:shd w:val="clear" w:color="000000" w:fill="D9D9D6"/>
            <w:vAlign w:val="center"/>
            <w:hideMark/>
          </w:tcPr>
          <w:p w14:paraId="063A5377"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35,1</w:t>
            </w:r>
          </w:p>
        </w:tc>
        <w:tc>
          <w:tcPr>
            <w:tcW w:w="680" w:type="dxa"/>
            <w:tcBorders>
              <w:top w:val="nil"/>
              <w:left w:val="nil"/>
              <w:bottom w:val="single" w:sz="4" w:space="0" w:color="auto"/>
              <w:right w:val="single" w:sz="4" w:space="0" w:color="auto"/>
            </w:tcBorders>
            <w:shd w:val="clear" w:color="000000" w:fill="D9D9D6"/>
            <w:vAlign w:val="center"/>
            <w:hideMark/>
          </w:tcPr>
          <w:p w14:paraId="06A0A60B"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36,7</w:t>
            </w:r>
          </w:p>
        </w:tc>
        <w:tc>
          <w:tcPr>
            <w:tcW w:w="640" w:type="dxa"/>
            <w:tcBorders>
              <w:top w:val="nil"/>
              <w:left w:val="nil"/>
              <w:bottom w:val="single" w:sz="4" w:space="0" w:color="auto"/>
              <w:right w:val="single" w:sz="4" w:space="0" w:color="auto"/>
            </w:tcBorders>
            <w:shd w:val="clear" w:color="000000" w:fill="D9D9D6"/>
            <w:vAlign w:val="center"/>
            <w:hideMark/>
          </w:tcPr>
          <w:p w14:paraId="5C0EB51B"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38,1</w:t>
            </w:r>
          </w:p>
        </w:tc>
        <w:tc>
          <w:tcPr>
            <w:tcW w:w="720" w:type="dxa"/>
            <w:tcBorders>
              <w:top w:val="nil"/>
              <w:left w:val="nil"/>
              <w:bottom w:val="single" w:sz="4" w:space="0" w:color="auto"/>
              <w:right w:val="single" w:sz="4" w:space="0" w:color="auto"/>
            </w:tcBorders>
            <w:shd w:val="clear" w:color="000000" w:fill="D9D9D6"/>
            <w:vAlign w:val="center"/>
            <w:hideMark/>
          </w:tcPr>
          <w:p w14:paraId="3B46C71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40,4</w:t>
            </w:r>
          </w:p>
        </w:tc>
        <w:tc>
          <w:tcPr>
            <w:tcW w:w="680" w:type="dxa"/>
            <w:tcBorders>
              <w:top w:val="nil"/>
              <w:left w:val="nil"/>
              <w:bottom w:val="single" w:sz="4" w:space="0" w:color="auto"/>
              <w:right w:val="single" w:sz="4" w:space="0" w:color="auto"/>
            </w:tcBorders>
            <w:shd w:val="clear" w:color="000000" w:fill="D9D9D6"/>
            <w:vAlign w:val="center"/>
            <w:hideMark/>
          </w:tcPr>
          <w:p w14:paraId="2550A7FB"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42,5</w:t>
            </w:r>
          </w:p>
        </w:tc>
        <w:tc>
          <w:tcPr>
            <w:tcW w:w="700" w:type="dxa"/>
            <w:tcBorders>
              <w:top w:val="nil"/>
              <w:left w:val="nil"/>
              <w:bottom w:val="single" w:sz="4" w:space="0" w:color="auto"/>
              <w:right w:val="single" w:sz="4" w:space="0" w:color="auto"/>
            </w:tcBorders>
            <w:shd w:val="clear" w:color="000000" w:fill="D9D9D6"/>
            <w:vAlign w:val="center"/>
            <w:hideMark/>
          </w:tcPr>
          <w:p w14:paraId="22490DD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44,5</w:t>
            </w:r>
          </w:p>
        </w:tc>
        <w:tc>
          <w:tcPr>
            <w:tcW w:w="700" w:type="dxa"/>
            <w:tcBorders>
              <w:top w:val="nil"/>
              <w:left w:val="nil"/>
              <w:bottom w:val="single" w:sz="4" w:space="0" w:color="auto"/>
              <w:right w:val="single" w:sz="4" w:space="0" w:color="auto"/>
            </w:tcBorders>
            <w:shd w:val="clear" w:color="000000" w:fill="D9D9D6"/>
            <w:vAlign w:val="center"/>
            <w:hideMark/>
          </w:tcPr>
          <w:p w14:paraId="67A5D4A3"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46,6</w:t>
            </w:r>
          </w:p>
        </w:tc>
      </w:tr>
      <w:tr w:rsidR="00A2360C" w:rsidRPr="00A2360C" w14:paraId="5C1F3735" w14:textId="77777777" w:rsidTr="00A2360C">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7FF14F2B"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Kasvuallikad</w:t>
            </w:r>
          </w:p>
        </w:tc>
        <w:tc>
          <w:tcPr>
            <w:tcW w:w="960" w:type="dxa"/>
            <w:tcBorders>
              <w:top w:val="nil"/>
              <w:left w:val="nil"/>
              <w:bottom w:val="single" w:sz="4" w:space="0" w:color="auto"/>
              <w:right w:val="single" w:sz="4" w:space="0" w:color="auto"/>
            </w:tcBorders>
            <w:shd w:val="clear" w:color="auto" w:fill="auto"/>
            <w:vAlign w:val="center"/>
            <w:hideMark/>
          </w:tcPr>
          <w:p w14:paraId="67773156"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40" w:type="dxa"/>
            <w:tcBorders>
              <w:top w:val="nil"/>
              <w:left w:val="nil"/>
              <w:bottom w:val="single" w:sz="4" w:space="0" w:color="auto"/>
              <w:right w:val="single" w:sz="4" w:space="0" w:color="auto"/>
            </w:tcBorders>
            <w:shd w:val="clear" w:color="auto" w:fill="auto"/>
            <w:vAlign w:val="center"/>
            <w:hideMark/>
          </w:tcPr>
          <w:p w14:paraId="62AC8EE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680" w:type="dxa"/>
            <w:tcBorders>
              <w:top w:val="nil"/>
              <w:left w:val="nil"/>
              <w:bottom w:val="single" w:sz="4" w:space="0" w:color="auto"/>
              <w:right w:val="single" w:sz="4" w:space="0" w:color="auto"/>
            </w:tcBorders>
            <w:shd w:val="clear" w:color="auto" w:fill="auto"/>
            <w:vAlign w:val="center"/>
            <w:hideMark/>
          </w:tcPr>
          <w:p w14:paraId="10F21107"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640" w:type="dxa"/>
            <w:tcBorders>
              <w:top w:val="nil"/>
              <w:left w:val="nil"/>
              <w:bottom w:val="single" w:sz="4" w:space="0" w:color="auto"/>
              <w:right w:val="single" w:sz="4" w:space="0" w:color="auto"/>
            </w:tcBorders>
            <w:shd w:val="clear" w:color="auto" w:fill="auto"/>
            <w:vAlign w:val="center"/>
            <w:hideMark/>
          </w:tcPr>
          <w:p w14:paraId="3183F15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20" w:type="dxa"/>
            <w:tcBorders>
              <w:top w:val="nil"/>
              <w:left w:val="nil"/>
              <w:bottom w:val="single" w:sz="4" w:space="0" w:color="auto"/>
              <w:right w:val="single" w:sz="4" w:space="0" w:color="auto"/>
            </w:tcBorders>
            <w:shd w:val="clear" w:color="auto" w:fill="auto"/>
            <w:vAlign w:val="center"/>
            <w:hideMark/>
          </w:tcPr>
          <w:p w14:paraId="2DCF62FD"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680" w:type="dxa"/>
            <w:tcBorders>
              <w:top w:val="nil"/>
              <w:left w:val="nil"/>
              <w:bottom w:val="single" w:sz="4" w:space="0" w:color="auto"/>
              <w:right w:val="single" w:sz="4" w:space="0" w:color="auto"/>
            </w:tcBorders>
            <w:shd w:val="clear" w:color="auto" w:fill="auto"/>
            <w:vAlign w:val="center"/>
            <w:hideMark/>
          </w:tcPr>
          <w:p w14:paraId="08155476"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00" w:type="dxa"/>
            <w:tcBorders>
              <w:top w:val="nil"/>
              <w:left w:val="nil"/>
              <w:bottom w:val="single" w:sz="4" w:space="0" w:color="auto"/>
              <w:right w:val="single" w:sz="4" w:space="0" w:color="auto"/>
            </w:tcBorders>
            <w:shd w:val="clear" w:color="auto" w:fill="auto"/>
            <w:vAlign w:val="center"/>
            <w:hideMark/>
          </w:tcPr>
          <w:p w14:paraId="3555F076"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00" w:type="dxa"/>
            <w:tcBorders>
              <w:top w:val="nil"/>
              <w:left w:val="nil"/>
              <w:bottom w:val="single" w:sz="4" w:space="0" w:color="auto"/>
              <w:right w:val="single" w:sz="4" w:space="0" w:color="auto"/>
            </w:tcBorders>
            <w:shd w:val="clear" w:color="auto" w:fill="auto"/>
            <w:vAlign w:val="center"/>
            <w:hideMark/>
          </w:tcPr>
          <w:p w14:paraId="3CF69E2F"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r>
      <w:tr w:rsidR="00A2360C" w:rsidRPr="00A2360C" w14:paraId="2C664623" w14:textId="77777777" w:rsidTr="00A2360C">
        <w:trPr>
          <w:trHeight w:val="300"/>
        </w:trPr>
        <w:tc>
          <w:tcPr>
            <w:tcW w:w="3820" w:type="dxa"/>
            <w:tcBorders>
              <w:top w:val="nil"/>
              <w:left w:val="single" w:sz="4" w:space="0" w:color="auto"/>
              <w:bottom w:val="single" w:sz="4" w:space="0" w:color="auto"/>
              <w:right w:val="single" w:sz="4" w:space="0" w:color="auto"/>
            </w:tcBorders>
            <w:shd w:val="clear" w:color="000000" w:fill="D9D9D6"/>
            <w:vAlign w:val="center"/>
            <w:hideMark/>
          </w:tcPr>
          <w:p w14:paraId="3495C6B2"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sz w:val="18"/>
                <w:szCs w:val="18"/>
                <w:lang w:eastAsia="et-EE"/>
              </w:rPr>
              <w:t xml:space="preserve">3. </w:t>
            </w:r>
            <w:proofErr w:type="spellStart"/>
            <w:r w:rsidRPr="00A2360C">
              <w:rPr>
                <w:rFonts w:ascii="Segoe UI Light" w:eastAsia="Times New Roman" w:hAnsi="Segoe UI Light" w:cs="Segoe UI Light"/>
                <w:b/>
                <w:bCs/>
                <w:sz w:val="18"/>
                <w:szCs w:val="18"/>
                <w:lang w:eastAsia="et-EE"/>
              </w:rPr>
              <w:t>Eratarbimiskulutused</w:t>
            </w:r>
            <w:proofErr w:type="spellEnd"/>
            <w:r w:rsidRPr="00A2360C">
              <w:rPr>
                <w:rFonts w:ascii="Segoe UI Light" w:eastAsia="Times New Roman" w:hAnsi="Segoe UI Light" w:cs="Segoe UI Light"/>
                <w:b/>
                <w:bCs/>
                <w:sz w:val="18"/>
                <w:szCs w:val="18"/>
                <w:lang w:eastAsia="et-EE"/>
              </w:rPr>
              <w:t xml:space="preserve"> (sh MTÜd)</w:t>
            </w:r>
          </w:p>
        </w:tc>
        <w:tc>
          <w:tcPr>
            <w:tcW w:w="960" w:type="dxa"/>
            <w:tcBorders>
              <w:top w:val="nil"/>
              <w:left w:val="nil"/>
              <w:bottom w:val="single" w:sz="4" w:space="0" w:color="auto"/>
              <w:right w:val="single" w:sz="4" w:space="0" w:color="auto"/>
            </w:tcBorders>
            <w:shd w:val="clear" w:color="000000" w:fill="D9D9D6"/>
            <w:vAlign w:val="center"/>
            <w:hideMark/>
          </w:tcPr>
          <w:p w14:paraId="70F4575A"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3,9</w:t>
            </w:r>
          </w:p>
        </w:tc>
        <w:tc>
          <w:tcPr>
            <w:tcW w:w="740" w:type="dxa"/>
            <w:tcBorders>
              <w:top w:val="nil"/>
              <w:left w:val="nil"/>
              <w:bottom w:val="single" w:sz="4" w:space="0" w:color="auto"/>
              <w:right w:val="single" w:sz="4" w:space="0" w:color="auto"/>
            </w:tcBorders>
            <w:shd w:val="clear" w:color="000000" w:fill="D9D9D6"/>
            <w:vAlign w:val="center"/>
            <w:hideMark/>
          </w:tcPr>
          <w:p w14:paraId="68C81CD7"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2,3</w:t>
            </w:r>
          </w:p>
        </w:tc>
        <w:tc>
          <w:tcPr>
            <w:tcW w:w="680" w:type="dxa"/>
            <w:tcBorders>
              <w:top w:val="nil"/>
              <w:left w:val="nil"/>
              <w:bottom w:val="single" w:sz="4" w:space="0" w:color="auto"/>
              <w:right w:val="single" w:sz="4" w:space="0" w:color="auto"/>
            </w:tcBorders>
            <w:shd w:val="clear" w:color="000000" w:fill="D9D9D6"/>
            <w:vAlign w:val="center"/>
            <w:hideMark/>
          </w:tcPr>
          <w:p w14:paraId="60075BC4"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-1,5</w:t>
            </w:r>
          </w:p>
        </w:tc>
        <w:tc>
          <w:tcPr>
            <w:tcW w:w="640" w:type="dxa"/>
            <w:tcBorders>
              <w:top w:val="nil"/>
              <w:left w:val="nil"/>
              <w:bottom w:val="single" w:sz="4" w:space="0" w:color="auto"/>
              <w:right w:val="single" w:sz="4" w:space="0" w:color="auto"/>
            </w:tcBorders>
            <w:shd w:val="clear" w:color="000000" w:fill="D9D9D6"/>
            <w:vAlign w:val="center"/>
            <w:hideMark/>
          </w:tcPr>
          <w:p w14:paraId="15584B1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0,7</w:t>
            </w:r>
          </w:p>
        </w:tc>
        <w:tc>
          <w:tcPr>
            <w:tcW w:w="720" w:type="dxa"/>
            <w:tcBorders>
              <w:top w:val="nil"/>
              <w:left w:val="nil"/>
              <w:bottom w:val="single" w:sz="4" w:space="0" w:color="auto"/>
              <w:right w:val="single" w:sz="4" w:space="0" w:color="auto"/>
            </w:tcBorders>
            <w:shd w:val="clear" w:color="000000" w:fill="D9D9D6"/>
            <w:vAlign w:val="center"/>
            <w:hideMark/>
          </w:tcPr>
          <w:p w14:paraId="77467A5D"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3,7</w:t>
            </w:r>
          </w:p>
        </w:tc>
        <w:tc>
          <w:tcPr>
            <w:tcW w:w="680" w:type="dxa"/>
            <w:tcBorders>
              <w:top w:val="nil"/>
              <w:left w:val="nil"/>
              <w:bottom w:val="single" w:sz="4" w:space="0" w:color="auto"/>
              <w:right w:val="single" w:sz="4" w:space="0" w:color="auto"/>
            </w:tcBorders>
            <w:shd w:val="clear" w:color="000000" w:fill="D9D9D6"/>
            <w:vAlign w:val="center"/>
            <w:hideMark/>
          </w:tcPr>
          <w:p w14:paraId="65D13207"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1,9</w:t>
            </w:r>
          </w:p>
        </w:tc>
        <w:tc>
          <w:tcPr>
            <w:tcW w:w="700" w:type="dxa"/>
            <w:tcBorders>
              <w:top w:val="nil"/>
              <w:left w:val="nil"/>
              <w:bottom w:val="single" w:sz="4" w:space="0" w:color="auto"/>
              <w:right w:val="single" w:sz="4" w:space="0" w:color="auto"/>
            </w:tcBorders>
            <w:shd w:val="clear" w:color="000000" w:fill="D9D9D6"/>
            <w:vAlign w:val="center"/>
            <w:hideMark/>
          </w:tcPr>
          <w:p w14:paraId="2579144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2,2</w:t>
            </w:r>
          </w:p>
        </w:tc>
        <w:tc>
          <w:tcPr>
            <w:tcW w:w="700" w:type="dxa"/>
            <w:tcBorders>
              <w:top w:val="nil"/>
              <w:left w:val="nil"/>
              <w:bottom w:val="single" w:sz="4" w:space="0" w:color="auto"/>
              <w:right w:val="single" w:sz="4" w:space="0" w:color="auto"/>
            </w:tcBorders>
            <w:shd w:val="clear" w:color="000000" w:fill="D9D9D6"/>
            <w:vAlign w:val="center"/>
            <w:hideMark/>
          </w:tcPr>
          <w:p w14:paraId="310BCA8D"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2,2</w:t>
            </w:r>
          </w:p>
        </w:tc>
      </w:tr>
      <w:tr w:rsidR="00A2360C" w:rsidRPr="00A2360C" w14:paraId="16675277" w14:textId="77777777" w:rsidTr="00A2360C">
        <w:trPr>
          <w:trHeight w:val="48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6A9D680E"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 xml:space="preserve">4. Valitsussektori </w:t>
            </w:r>
            <w:proofErr w:type="spellStart"/>
            <w:r w:rsidRPr="00A2360C">
              <w:rPr>
                <w:rFonts w:ascii="Segoe UI Light" w:eastAsia="Times New Roman" w:hAnsi="Segoe UI Light" w:cs="Segoe UI Light"/>
                <w:b/>
                <w:bCs/>
                <w:color w:val="000000"/>
                <w:sz w:val="18"/>
                <w:szCs w:val="18"/>
                <w:lang w:eastAsia="et-EE"/>
              </w:rPr>
              <w:t>lõpp</w:t>
            </w:r>
            <w:r w:rsidRPr="00A2360C">
              <w:rPr>
                <w:rFonts w:ascii="Segoe UI Light" w:eastAsia="Times New Roman" w:hAnsi="Segoe UI Light" w:cs="Segoe UI Light"/>
                <w:b/>
                <w:bCs/>
                <w:color w:val="000000"/>
                <w:sz w:val="18"/>
                <w:szCs w:val="18"/>
                <w:lang w:eastAsia="et-EE"/>
              </w:rPr>
              <w:softHyphen/>
              <w:t>tarbimis</w:t>
            </w:r>
            <w:r w:rsidRPr="00A2360C">
              <w:rPr>
                <w:rFonts w:ascii="Segoe UI Light" w:eastAsia="Times New Roman" w:hAnsi="Segoe UI Light" w:cs="Segoe UI Light"/>
                <w:b/>
                <w:bCs/>
                <w:color w:val="000000"/>
                <w:sz w:val="18"/>
                <w:szCs w:val="18"/>
                <w:lang w:eastAsia="et-EE"/>
              </w:rPr>
              <w:softHyphen/>
              <w:t>kulutused</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3ADDBE5"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2,3</w:t>
            </w:r>
          </w:p>
        </w:tc>
        <w:tc>
          <w:tcPr>
            <w:tcW w:w="740" w:type="dxa"/>
            <w:tcBorders>
              <w:top w:val="nil"/>
              <w:left w:val="nil"/>
              <w:bottom w:val="single" w:sz="4" w:space="0" w:color="auto"/>
              <w:right w:val="single" w:sz="4" w:space="0" w:color="auto"/>
            </w:tcBorders>
            <w:shd w:val="clear" w:color="auto" w:fill="auto"/>
            <w:vAlign w:val="center"/>
            <w:hideMark/>
          </w:tcPr>
          <w:p w14:paraId="2FD9AED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0,1</w:t>
            </w:r>
          </w:p>
        </w:tc>
        <w:tc>
          <w:tcPr>
            <w:tcW w:w="680" w:type="dxa"/>
            <w:tcBorders>
              <w:top w:val="nil"/>
              <w:left w:val="nil"/>
              <w:bottom w:val="single" w:sz="4" w:space="0" w:color="auto"/>
              <w:right w:val="single" w:sz="4" w:space="0" w:color="auto"/>
            </w:tcBorders>
            <w:shd w:val="clear" w:color="auto" w:fill="auto"/>
            <w:vAlign w:val="center"/>
            <w:hideMark/>
          </w:tcPr>
          <w:p w14:paraId="4D1649D9"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0,9</w:t>
            </w:r>
          </w:p>
        </w:tc>
        <w:tc>
          <w:tcPr>
            <w:tcW w:w="640" w:type="dxa"/>
            <w:tcBorders>
              <w:top w:val="nil"/>
              <w:left w:val="nil"/>
              <w:bottom w:val="single" w:sz="4" w:space="0" w:color="auto"/>
              <w:right w:val="single" w:sz="4" w:space="0" w:color="auto"/>
            </w:tcBorders>
            <w:shd w:val="clear" w:color="auto" w:fill="auto"/>
            <w:vAlign w:val="center"/>
            <w:hideMark/>
          </w:tcPr>
          <w:p w14:paraId="6B1BE37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1,3</w:t>
            </w:r>
          </w:p>
        </w:tc>
        <w:tc>
          <w:tcPr>
            <w:tcW w:w="720" w:type="dxa"/>
            <w:tcBorders>
              <w:top w:val="nil"/>
              <w:left w:val="nil"/>
              <w:bottom w:val="single" w:sz="4" w:space="0" w:color="auto"/>
              <w:right w:val="single" w:sz="4" w:space="0" w:color="auto"/>
            </w:tcBorders>
            <w:shd w:val="clear" w:color="auto" w:fill="auto"/>
            <w:vAlign w:val="center"/>
            <w:hideMark/>
          </w:tcPr>
          <w:p w14:paraId="27F16F8C"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1,5</w:t>
            </w:r>
          </w:p>
        </w:tc>
        <w:tc>
          <w:tcPr>
            <w:tcW w:w="680" w:type="dxa"/>
            <w:tcBorders>
              <w:top w:val="nil"/>
              <w:left w:val="nil"/>
              <w:bottom w:val="single" w:sz="4" w:space="0" w:color="auto"/>
              <w:right w:val="single" w:sz="4" w:space="0" w:color="auto"/>
            </w:tcBorders>
            <w:shd w:val="clear" w:color="auto" w:fill="auto"/>
            <w:vAlign w:val="center"/>
            <w:hideMark/>
          </w:tcPr>
          <w:p w14:paraId="74510D5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w:t>
            </w:r>
          </w:p>
        </w:tc>
        <w:tc>
          <w:tcPr>
            <w:tcW w:w="700" w:type="dxa"/>
            <w:tcBorders>
              <w:top w:val="nil"/>
              <w:left w:val="nil"/>
              <w:bottom w:val="single" w:sz="4" w:space="0" w:color="auto"/>
              <w:right w:val="single" w:sz="4" w:space="0" w:color="auto"/>
            </w:tcBorders>
            <w:shd w:val="clear" w:color="auto" w:fill="auto"/>
            <w:vAlign w:val="center"/>
            <w:hideMark/>
          </w:tcPr>
          <w:p w14:paraId="6478FD3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1,5</w:t>
            </w:r>
          </w:p>
        </w:tc>
        <w:tc>
          <w:tcPr>
            <w:tcW w:w="700" w:type="dxa"/>
            <w:tcBorders>
              <w:top w:val="nil"/>
              <w:left w:val="nil"/>
              <w:bottom w:val="single" w:sz="4" w:space="0" w:color="auto"/>
              <w:right w:val="single" w:sz="4" w:space="0" w:color="auto"/>
            </w:tcBorders>
            <w:shd w:val="clear" w:color="auto" w:fill="auto"/>
            <w:vAlign w:val="center"/>
            <w:hideMark/>
          </w:tcPr>
          <w:p w14:paraId="1097460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w:t>
            </w:r>
          </w:p>
        </w:tc>
      </w:tr>
      <w:tr w:rsidR="00A2360C" w:rsidRPr="00A2360C" w14:paraId="1812A89A" w14:textId="77777777" w:rsidTr="00A2360C">
        <w:trPr>
          <w:trHeight w:val="300"/>
        </w:trPr>
        <w:tc>
          <w:tcPr>
            <w:tcW w:w="3820" w:type="dxa"/>
            <w:tcBorders>
              <w:top w:val="nil"/>
              <w:left w:val="single" w:sz="4" w:space="0" w:color="auto"/>
              <w:bottom w:val="single" w:sz="4" w:space="0" w:color="auto"/>
              <w:right w:val="single" w:sz="4" w:space="0" w:color="auto"/>
            </w:tcBorders>
            <w:shd w:val="clear" w:color="000000" w:fill="D9D9D6"/>
            <w:vAlign w:val="center"/>
            <w:hideMark/>
          </w:tcPr>
          <w:p w14:paraId="14D36EBB"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sz w:val="18"/>
                <w:szCs w:val="18"/>
                <w:lang w:eastAsia="et-EE"/>
              </w:rPr>
              <w:t>5. Kapitali kogumahutus põhivarasse</w:t>
            </w:r>
          </w:p>
        </w:tc>
        <w:tc>
          <w:tcPr>
            <w:tcW w:w="960" w:type="dxa"/>
            <w:tcBorders>
              <w:top w:val="nil"/>
              <w:left w:val="nil"/>
              <w:bottom w:val="single" w:sz="4" w:space="0" w:color="auto"/>
              <w:right w:val="single" w:sz="4" w:space="0" w:color="auto"/>
            </w:tcBorders>
            <w:shd w:val="clear" w:color="000000" w:fill="D9D9D6"/>
            <w:vAlign w:val="center"/>
            <w:hideMark/>
          </w:tcPr>
          <w:p w14:paraId="0E4BCB1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8,8</w:t>
            </w:r>
          </w:p>
        </w:tc>
        <w:tc>
          <w:tcPr>
            <w:tcW w:w="740" w:type="dxa"/>
            <w:tcBorders>
              <w:top w:val="nil"/>
              <w:left w:val="nil"/>
              <w:bottom w:val="single" w:sz="4" w:space="0" w:color="auto"/>
              <w:right w:val="single" w:sz="4" w:space="0" w:color="auto"/>
            </w:tcBorders>
            <w:shd w:val="clear" w:color="000000" w:fill="D9D9D6"/>
            <w:vAlign w:val="center"/>
            <w:hideMark/>
          </w:tcPr>
          <w:p w14:paraId="0CB9D119"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-3,7</w:t>
            </w:r>
          </w:p>
        </w:tc>
        <w:tc>
          <w:tcPr>
            <w:tcW w:w="680" w:type="dxa"/>
            <w:tcBorders>
              <w:top w:val="nil"/>
              <w:left w:val="nil"/>
              <w:bottom w:val="single" w:sz="4" w:space="0" w:color="auto"/>
              <w:right w:val="single" w:sz="4" w:space="0" w:color="auto"/>
            </w:tcBorders>
            <w:shd w:val="clear" w:color="000000" w:fill="D9D9D6"/>
            <w:vAlign w:val="center"/>
            <w:hideMark/>
          </w:tcPr>
          <w:p w14:paraId="4F976CF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-3,4</w:t>
            </w:r>
          </w:p>
        </w:tc>
        <w:tc>
          <w:tcPr>
            <w:tcW w:w="640" w:type="dxa"/>
            <w:tcBorders>
              <w:top w:val="nil"/>
              <w:left w:val="nil"/>
              <w:bottom w:val="single" w:sz="4" w:space="0" w:color="auto"/>
              <w:right w:val="single" w:sz="4" w:space="0" w:color="auto"/>
            </w:tcBorders>
            <w:shd w:val="clear" w:color="000000" w:fill="D9D9D6"/>
            <w:vAlign w:val="center"/>
            <w:hideMark/>
          </w:tcPr>
          <w:p w14:paraId="7F3C4B7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-2,1</w:t>
            </w:r>
          </w:p>
        </w:tc>
        <w:tc>
          <w:tcPr>
            <w:tcW w:w="720" w:type="dxa"/>
            <w:tcBorders>
              <w:top w:val="nil"/>
              <w:left w:val="nil"/>
              <w:bottom w:val="single" w:sz="4" w:space="0" w:color="auto"/>
              <w:right w:val="single" w:sz="4" w:space="0" w:color="auto"/>
            </w:tcBorders>
            <w:shd w:val="clear" w:color="000000" w:fill="D9D9D6"/>
            <w:vAlign w:val="center"/>
            <w:hideMark/>
          </w:tcPr>
          <w:p w14:paraId="47283194"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4,6</w:t>
            </w:r>
          </w:p>
        </w:tc>
        <w:tc>
          <w:tcPr>
            <w:tcW w:w="680" w:type="dxa"/>
            <w:tcBorders>
              <w:top w:val="nil"/>
              <w:left w:val="nil"/>
              <w:bottom w:val="single" w:sz="4" w:space="0" w:color="auto"/>
              <w:right w:val="single" w:sz="4" w:space="0" w:color="auto"/>
            </w:tcBorders>
            <w:shd w:val="clear" w:color="000000" w:fill="D9D9D6"/>
            <w:vAlign w:val="center"/>
            <w:hideMark/>
          </w:tcPr>
          <w:p w14:paraId="6C02E5B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5,9</w:t>
            </w:r>
          </w:p>
        </w:tc>
        <w:tc>
          <w:tcPr>
            <w:tcW w:w="700" w:type="dxa"/>
            <w:tcBorders>
              <w:top w:val="nil"/>
              <w:left w:val="nil"/>
              <w:bottom w:val="single" w:sz="4" w:space="0" w:color="auto"/>
              <w:right w:val="single" w:sz="4" w:space="0" w:color="auto"/>
            </w:tcBorders>
            <w:shd w:val="clear" w:color="000000" w:fill="D9D9D6"/>
            <w:vAlign w:val="center"/>
            <w:hideMark/>
          </w:tcPr>
          <w:p w14:paraId="4632727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-0,7</w:t>
            </w:r>
          </w:p>
        </w:tc>
        <w:tc>
          <w:tcPr>
            <w:tcW w:w="700" w:type="dxa"/>
            <w:tcBorders>
              <w:top w:val="nil"/>
              <w:left w:val="nil"/>
              <w:bottom w:val="single" w:sz="4" w:space="0" w:color="auto"/>
              <w:right w:val="single" w:sz="4" w:space="0" w:color="auto"/>
            </w:tcBorders>
            <w:shd w:val="clear" w:color="000000" w:fill="D9D9D6"/>
            <w:vAlign w:val="center"/>
            <w:hideMark/>
          </w:tcPr>
          <w:p w14:paraId="185F38CC"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2,8</w:t>
            </w:r>
          </w:p>
        </w:tc>
      </w:tr>
      <w:tr w:rsidR="00A2360C" w:rsidRPr="00A2360C" w14:paraId="356D2B01" w14:textId="77777777" w:rsidTr="00A2360C">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1EDAE228"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6. Sisenõudlus</w:t>
            </w:r>
          </w:p>
        </w:tc>
        <w:tc>
          <w:tcPr>
            <w:tcW w:w="960" w:type="dxa"/>
            <w:tcBorders>
              <w:top w:val="nil"/>
              <w:left w:val="nil"/>
              <w:bottom w:val="single" w:sz="4" w:space="0" w:color="auto"/>
              <w:right w:val="single" w:sz="4" w:space="0" w:color="auto"/>
            </w:tcBorders>
            <w:shd w:val="clear" w:color="auto" w:fill="auto"/>
            <w:vAlign w:val="center"/>
            <w:hideMark/>
          </w:tcPr>
          <w:p w14:paraId="4E22D393"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5</w:t>
            </w:r>
          </w:p>
        </w:tc>
        <w:tc>
          <w:tcPr>
            <w:tcW w:w="740" w:type="dxa"/>
            <w:tcBorders>
              <w:top w:val="nil"/>
              <w:left w:val="nil"/>
              <w:bottom w:val="single" w:sz="4" w:space="0" w:color="auto"/>
              <w:right w:val="single" w:sz="4" w:space="0" w:color="auto"/>
            </w:tcBorders>
            <w:shd w:val="clear" w:color="auto" w:fill="auto"/>
            <w:vAlign w:val="center"/>
            <w:hideMark/>
          </w:tcPr>
          <w:p w14:paraId="291B8D57"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w:t>
            </w:r>
          </w:p>
        </w:tc>
        <w:tc>
          <w:tcPr>
            <w:tcW w:w="680" w:type="dxa"/>
            <w:tcBorders>
              <w:top w:val="nil"/>
              <w:left w:val="nil"/>
              <w:bottom w:val="single" w:sz="4" w:space="0" w:color="auto"/>
              <w:right w:val="single" w:sz="4" w:space="0" w:color="auto"/>
            </w:tcBorders>
            <w:shd w:val="clear" w:color="auto" w:fill="auto"/>
            <w:vAlign w:val="center"/>
            <w:hideMark/>
          </w:tcPr>
          <w:p w14:paraId="2109FB67"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-2,9</w:t>
            </w:r>
          </w:p>
        </w:tc>
        <w:tc>
          <w:tcPr>
            <w:tcW w:w="640" w:type="dxa"/>
            <w:tcBorders>
              <w:top w:val="nil"/>
              <w:left w:val="nil"/>
              <w:bottom w:val="single" w:sz="4" w:space="0" w:color="auto"/>
              <w:right w:val="single" w:sz="4" w:space="0" w:color="auto"/>
            </w:tcBorders>
            <w:shd w:val="clear" w:color="auto" w:fill="auto"/>
            <w:vAlign w:val="center"/>
            <w:hideMark/>
          </w:tcPr>
          <w:p w14:paraId="16FE6C1F"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0,5</w:t>
            </w:r>
          </w:p>
        </w:tc>
        <w:tc>
          <w:tcPr>
            <w:tcW w:w="720" w:type="dxa"/>
            <w:tcBorders>
              <w:top w:val="nil"/>
              <w:left w:val="nil"/>
              <w:bottom w:val="single" w:sz="4" w:space="0" w:color="auto"/>
              <w:right w:val="single" w:sz="4" w:space="0" w:color="auto"/>
            </w:tcBorders>
            <w:shd w:val="clear" w:color="auto" w:fill="auto"/>
            <w:vAlign w:val="center"/>
            <w:hideMark/>
          </w:tcPr>
          <w:p w14:paraId="3986A29A"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3,9</w:t>
            </w:r>
          </w:p>
        </w:tc>
        <w:tc>
          <w:tcPr>
            <w:tcW w:w="680" w:type="dxa"/>
            <w:tcBorders>
              <w:top w:val="nil"/>
              <w:left w:val="nil"/>
              <w:bottom w:val="single" w:sz="4" w:space="0" w:color="auto"/>
              <w:right w:val="single" w:sz="4" w:space="0" w:color="auto"/>
            </w:tcBorders>
            <w:shd w:val="clear" w:color="auto" w:fill="auto"/>
            <w:vAlign w:val="center"/>
            <w:hideMark/>
          </w:tcPr>
          <w:p w14:paraId="7D18B067"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2,6</w:t>
            </w:r>
          </w:p>
        </w:tc>
        <w:tc>
          <w:tcPr>
            <w:tcW w:w="700" w:type="dxa"/>
            <w:tcBorders>
              <w:top w:val="nil"/>
              <w:left w:val="nil"/>
              <w:bottom w:val="single" w:sz="4" w:space="0" w:color="auto"/>
              <w:right w:val="single" w:sz="4" w:space="0" w:color="auto"/>
            </w:tcBorders>
            <w:shd w:val="clear" w:color="auto" w:fill="auto"/>
            <w:vAlign w:val="center"/>
            <w:hideMark/>
          </w:tcPr>
          <w:p w14:paraId="3734640B"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1,6</w:t>
            </w:r>
          </w:p>
        </w:tc>
        <w:tc>
          <w:tcPr>
            <w:tcW w:w="700" w:type="dxa"/>
            <w:tcBorders>
              <w:top w:val="nil"/>
              <w:left w:val="nil"/>
              <w:bottom w:val="single" w:sz="4" w:space="0" w:color="auto"/>
              <w:right w:val="single" w:sz="4" w:space="0" w:color="auto"/>
            </w:tcBorders>
            <w:shd w:val="clear" w:color="auto" w:fill="auto"/>
            <w:vAlign w:val="center"/>
            <w:hideMark/>
          </w:tcPr>
          <w:p w14:paraId="6FEEC0F3"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2,2</w:t>
            </w:r>
          </w:p>
        </w:tc>
      </w:tr>
      <w:tr w:rsidR="00A2360C" w:rsidRPr="00A2360C" w14:paraId="60F8406F" w14:textId="77777777" w:rsidTr="00A2360C">
        <w:trPr>
          <w:trHeight w:val="300"/>
        </w:trPr>
        <w:tc>
          <w:tcPr>
            <w:tcW w:w="3820" w:type="dxa"/>
            <w:tcBorders>
              <w:top w:val="nil"/>
              <w:left w:val="single" w:sz="4" w:space="0" w:color="auto"/>
              <w:bottom w:val="single" w:sz="4" w:space="0" w:color="auto"/>
              <w:right w:val="single" w:sz="4" w:space="0" w:color="auto"/>
            </w:tcBorders>
            <w:shd w:val="clear" w:color="000000" w:fill="D9D9D6"/>
            <w:vAlign w:val="center"/>
            <w:hideMark/>
          </w:tcPr>
          <w:p w14:paraId="3817A19A"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sz w:val="18"/>
                <w:szCs w:val="18"/>
                <w:lang w:eastAsia="et-EE"/>
              </w:rPr>
              <w:t>7. Kaupade ja teenuste eksport</w:t>
            </w:r>
          </w:p>
        </w:tc>
        <w:tc>
          <w:tcPr>
            <w:tcW w:w="960" w:type="dxa"/>
            <w:tcBorders>
              <w:top w:val="nil"/>
              <w:left w:val="nil"/>
              <w:bottom w:val="single" w:sz="4" w:space="0" w:color="auto"/>
              <w:right w:val="single" w:sz="4" w:space="0" w:color="auto"/>
            </w:tcBorders>
            <w:shd w:val="clear" w:color="000000" w:fill="D9D9D6"/>
            <w:vAlign w:val="center"/>
            <w:hideMark/>
          </w:tcPr>
          <w:p w14:paraId="7D9F5B6C"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6,1</w:t>
            </w:r>
          </w:p>
        </w:tc>
        <w:tc>
          <w:tcPr>
            <w:tcW w:w="740" w:type="dxa"/>
            <w:tcBorders>
              <w:top w:val="nil"/>
              <w:left w:val="nil"/>
              <w:bottom w:val="single" w:sz="4" w:space="0" w:color="auto"/>
              <w:right w:val="single" w:sz="4" w:space="0" w:color="auto"/>
            </w:tcBorders>
            <w:shd w:val="clear" w:color="000000" w:fill="D9D9D6"/>
            <w:vAlign w:val="center"/>
            <w:hideMark/>
          </w:tcPr>
          <w:p w14:paraId="65832D34"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w:t>
            </w:r>
          </w:p>
        </w:tc>
        <w:tc>
          <w:tcPr>
            <w:tcW w:w="680" w:type="dxa"/>
            <w:tcBorders>
              <w:top w:val="nil"/>
              <w:left w:val="nil"/>
              <w:bottom w:val="single" w:sz="4" w:space="0" w:color="auto"/>
              <w:right w:val="single" w:sz="4" w:space="0" w:color="auto"/>
            </w:tcBorders>
            <w:shd w:val="clear" w:color="000000" w:fill="D9D9D6"/>
            <w:vAlign w:val="center"/>
            <w:hideMark/>
          </w:tcPr>
          <w:p w14:paraId="7469FE2D"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-6,9</w:t>
            </w:r>
          </w:p>
        </w:tc>
        <w:tc>
          <w:tcPr>
            <w:tcW w:w="640" w:type="dxa"/>
            <w:tcBorders>
              <w:top w:val="nil"/>
              <w:left w:val="nil"/>
              <w:bottom w:val="single" w:sz="4" w:space="0" w:color="auto"/>
              <w:right w:val="single" w:sz="4" w:space="0" w:color="auto"/>
            </w:tcBorders>
            <w:shd w:val="clear" w:color="000000" w:fill="D9D9D6"/>
            <w:vAlign w:val="center"/>
            <w:hideMark/>
          </w:tcPr>
          <w:p w14:paraId="2148FFD5"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-0,7</w:t>
            </w:r>
          </w:p>
        </w:tc>
        <w:tc>
          <w:tcPr>
            <w:tcW w:w="720" w:type="dxa"/>
            <w:tcBorders>
              <w:top w:val="nil"/>
              <w:left w:val="nil"/>
              <w:bottom w:val="single" w:sz="4" w:space="0" w:color="auto"/>
              <w:right w:val="single" w:sz="4" w:space="0" w:color="auto"/>
            </w:tcBorders>
            <w:shd w:val="clear" w:color="000000" w:fill="D9D9D6"/>
            <w:vAlign w:val="center"/>
            <w:hideMark/>
          </w:tcPr>
          <w:p w14:paraId="088B4F0C"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2,9</w:t>
            </w:r>
          </w:p>
        </w:tc>
        <w:tc>
          <w:tcPr>
            <w:tcW w:w="680" w:type="dxa"/>
            <w:tcBorders>
              <w:top w:val="nil"/>
              <w:left w:val="nil"/>
              <w:bottom w:val="single" w:sz="4" w:space="0" w:color="auto"/>
              <w:right w:val="single" w:sz="4" w:space="0" w:color="auto"/>
            </w:tcBorders>
            <w:shd w:val="clear" w:color="000000" w:fill="D9D9D6"/>
            <w:vAlign w:val="center"/>
            <w:hideMark/>
          </w:tcPr>
          <w:p w14:paraId="6364297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3,2</w:t>
            </w:r>
          </w:p>
        </w:tc>
        <w:tc>
          <w:tcPr>
            <w:tcW w:w="700" w:type="dxa"/>
            <w:tcBorders>
              <w:top w:val="nil"/>
              <w:left w:val="nil"/>
              <w:bottom w:val="single" w:sz="4" w:space="0" w:color="auto"/>
              <w:right w:val="single" w:sz="4" w:space="0" w:color="auto"/>
            </w:tcBorders>
            <w:shd w:val="clear" w:color="000000" w:fill="D9D9D6"/>
            <w:vAlign w:val="center"/>
            <w:hideMark/>
          </w:tcPr>
          <w:p w14:paraId="1497BD95"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w:t>
            </w:r>
          </w:p>
        </w:tc>
        <w:tc>
          <w:tcPr>
            <w:tcW w:w="700" w:type="dxa"/>
            <w:tcBorders>
              <w:top w:val="nil"/>
              <w:left w:val="nil"/>
              <w:bottom w:val="single" w:sz="4" w:space="0" w:color="auto"/>
              <w:right w:val="single" w:sz="4" w:space="0" w:color="auto"/>
            </w:tcBorders>
            <w:shd w:val="clear" w:color="000000" w:fill="D9D9D6"/>
            <w:vAlign w:val="center"/>
            <w:hideMark/>
          </w:tcPr>
          <w:p w14:paraId="1C50C091"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2,9</w:t>
            </w:r>
          </w:p>
        </w:tc>
      </w:tr>
      <w:tr w:rsidR="00A2360C" w:rsidRPr="00A2360C" w14:paraId="6897C211" w14:textId="77777777" w:rsidTr="00A2360C">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2ECCC049"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8. Kaupade ja teenuste import</w:t>
            </w:r>
          </w:p>
        </w:tc>
        <w:tc>
          <w:tcPr>
            <w:tcW w:w="960" w:type="dxa"/>
            <w:tcBorders>
              <w:top w:val="nil"/>
              <w:left w:val="nil"/>
              <w:bottom w:val="single" w:sz="4" w:space="0" w:color="auto"/>
              <w:right w:val="single" w:sz="4" w:space="0" w:color="auto"/>
            </w:tcBorders>
            <w:shd w:val="clear" w:color="auto" w:fill="auto"/>
            <w:vAlign w:val="center"/>
            <w:hideMark/>
          </w:tcPr>
          <w:p w14:paraId="7FF981D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7,7</w:t>
            </w:r>
          </w:p>
        </w:tc>
        <w:tc>
          <w:tcPr>
            <w:tcW w:w="740" w:type="dxa"/>
            <w:tcBorders>
              <w:top w:val="nil"/>
              <w:left w:val="nil"/>
              <w:bottom w:val="single" w:sz="4" w:space="0" w:color="auto"/>
              <w:right w:val="single" w:sz="4" w:space="0" w:color="auto"/>
            </w:tcBorders>
            <w:shd w:val="clear" w:color="auto" w:fill="auto"/>
            <w:vAlign w:val="center"/>
            <w:hideMark/>
          </w:tcPr>
          <w:p w14:paraId="21F60BD7"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3,2</w:t>
            </w:r>
          </w:p>
        </w:tc>
        <w:tc>
          <w:tcPr>
            <w:tcW w:w="680" w:type="dxa"/>
            <w:tcBorders>
              <w:top w:val="nil"/>
              <w:left w:val="nil"/>
              <w:bottom w:val="single" w:sz="4" w:space="0" w:color="auto"/>
              <w:right w:val="single" w:sz="4" w:space="0" w:color="auto"/>
            </w:tcBorders>
            <w:shd w:val="clear" w:color="auto" w:fill="auto"/>
            <w:vAlign w:val="center"/>
            <w:hideMark/>
          </w:tcPr>
          <w:p w14:paraId="7730F39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-5,2</w:t>
            </w:r>
          </w:p>
        </w:tc>
        <w:tc>
          <w:tcPr>
            <w:tcW w:w="640" w:type="dxa"/>
            <w:tcBorders>
              <w:top w:val="nil"/>
              <w:left w:val="nil"/>
              <w:bottom w:val="single" w:sz="4" w:space="0" w:color="auto"/>
              <w:right w:val="single" w:sz="4" w:space="0" w:color="auto"/>
            </w:tcBorders>
            <w:shd w:val="clear" w:color="auto" w:fill="auto"/>
            <w:vAlign w:val="center"/>
            <w:hideMark/>
          </w:tcPr>
          <w:p w14:paraId="2BFD1849"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-0,1</w:t>
            </w:r>
          </w:p>
        </w:tc>
        <w:tc>
          <w:tcPr>
            <w:tcW w:w="720" w:type="dxa"/>
            <w:tcBorders>
              <w:top w:val="nil"/>
              <w:left w:val="nil"/>
              <w:bottom w:val="single" w:sz="4" w:space="0" w:color="auto"/>
              <w:right w:val="single" w:sz="4" w:space="0" w:color="auto"/>
            </w:tcBorders>
            <w:shd w:val="clear" w:color="auto" w:fill="auto"/>
            <w:vAlign w:val="center"/>
            <w:hideMark/>
          </w:tcPr>
          <w:p w14:paraId="27995FE5"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3,8</w:t>
            </w:r>
          </w:p>
        </w:tc>
        <w:tc>
          <w:tcPr>
            <w:tcW w:w="680" w:type="dxa"/>
            <w:tcBorders>
              <w:top w:val="nil"/>
              <w:left w:val="nil"/>
              <w:bottom w:val="single" w:sz="4" w:space="0" w:color="auto"/>
              <w:right w:val="single" w:sz="4" w:space="0" w:color="auto"/>
            </w:tcBorders>
            <w:shd w:val="clear" w:color="auto" w:fill="auto"/>
            <w:vAlign w:val="center"/>
            <w:hideMark/>
          </w:tcPr>
          <w:p w14:paraId="42009095"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w:t>
            </w:r>
          </w:p>
        </w:tc>
        <w:tc>
          <w:tcPr>
            <w:tcW w:w="700" w:type="dxa"/>
            <w:tcBorders>
              <w:top w:val="nil"/>
              <w:left w:val="nil"/>
              <w:bottom w:val="single" w:sz="4" w:space="0" w:color="auto"/>
              <w:right w:val="single" w:sz="4" w:space="0" w:color="auto"/>
            </w:tcBorders>
            <w:shd w:val="clear" w:color="auto" w:fill="auto"/>
            <w:vAlign w:val="center"/>
            <w:hideMark/>
          </w:tcPr>
          <w:p w14:paraId="2AB78D6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1,9</w:t>
            </w:r>
          </w:p>
        </w:tc>
        <w:tc>
          <w:tcPr>
            <w:tcW w:w="700" w:type="dxa"/>
            <w:tcBorders>
              <w:top w:val="nil"/>
              <w:left w:val="nil"/>
              <w:bottom w:val="single" w:sz="4" w:space="0" w:color="auto"/>
              <w:right w:val="single" w:sz="4" w:space="0" w:color="auto"/>
            </w:tcBorders>
            <w:shd w:val="clear" w:color="auto" w:fill="auto"/>
            <w:vAlign w:val="center"/>
            <w:hideMark/>
          </w:tcPr>
          <w:p w14:paraId="5EB88A1F"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2,7</w:t>
            </w:r>
          </w:p>
        </w:tc>
      </w:tr>
      <w:tr w:rsidR="00A2360C" w:rsidRPr="00A2360C" w14:paraId="30ED0C65" w14:textId="77777777" w:rsidTr="00A2360C">
        <w:trPr>
          <w:trHeight w:val="300"/>
        </w:trPr>
        <w:tc>
          <w:tcPr>
            <w:tcW w:w="3820" w:type="dxa"/>
            <w:tcBorders>
              <w:top w:val="nil"/>
              <w:left w:val="single" w:sz="4" w:space="0" w:color="auto"/>
              <w:bottom w:val="single" w:sz="4" w:space="0" w:color="auto"/>
              <w:right w:val="single" w:sz="4" w:space="0" w:color="auto"/>
            </w:tcBorders>
            <w:shd w:val="clear" w:color="000000" w:fill="D9D9D6"/>
            <w:vAlign w:val="center"/>
            <w:hideMark/>
          </w:tcPr>
          <w:p w14:paraId="20FCFB37"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sz w:val="18"/>
                <w:szCs w:val="18"/>
                <w:lang w:eastAsia="et-EE"/>
              </w:rPr>
              <w:t>Panus SKP kasvu</w:t>
            </w:r>
          </w:p>
        </w:tc>
        <w:tc>
          <w:tcPr>
            <w:tcW w:w="960" w:type="dxa"/>
            <w:tcBorders>
              <w:top w:val="nil"/>
              <w:left w:val="nil"/>
              <w:bottom w:val="single" w:sz="4" w:space="0" w:color="auto"/>
              <w:right w:val="single" w:sz="4" w:space="0" w:color="auto"/>
            </w:tcBorders>
            <w:shd w:val="clear" w:color="000000" w:fill="D9D9D6"/>
            <w:vAlign w:val="center"/>
            <w:hideMark/>
          </w:tcPr>
          <w:p w14:paraId="243E3C2F"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40" w:type="dxa"/>
            <w:tcBorders>
              <w:top w:val="nil"/>
              <w:left w:val="nil"/>
              <w:bottom w:val="single" w:sz="4" w:space="0" w:color="auto"/>
              <w:right w:val="single" w:sz="4" w:space="0" w:color="auto"/>
            </w:tcBorders>
            <w:shd w:val="clear" w:color="000000" w:fill="D9D9D6"/>
            <w:vAlign w:val="center"/>
            <w:hideMark/>
          </w:tcPr>
          <w:p w14:paraId="02978A54"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680" w:type="dxa"/>
            <w:tcBorders>
              <w:top w:val="nil"/>
              <w:left w:val="nil"/>
              <w:bottom w:val="single" w:sz="4" w:space="0" w:color="auto"/>
              <w:right w:val="single" w:sz="4" w:space="0" w:color="auto"/>
            </w:tcBorders>
            <w:shd w:val="clear" w:color="000000" w:fill="D9D9D6"/>
            <w:vAlign w:val="center"/>
            <w:hideMark/>
          </w:tcPr>
          <w:p w14:paraId="0AA27549"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640" w:type="dxa"/>
            <w:tcBorders>
              <w:top w:val="nil"/>
              <w:left w:val="nil"/>
              <w:bottom w:val="single" w:sz="4" w:space="0" w:color="auto"/>
              <w:right w:val="single" w:sz="4" w:space="0" w:color="auto"/>
            </w:tcBorders>
            <w:shd w:val="clear" w:color="000000" w:fill="D9D9D6"/>
            <w:vAlign w:val="center"/>
            <w:hideMark/>
          </w:tcPr>
          <w:p w14:paraId="157A30EA"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20" w:type="dxa"/>
            <w:tcBorders>
              <w:top w:val="nil"/>
              <w:left w:val="nil"/>
              <w:bottom w:val="single" w:sz="4" w:space="0" w:color="auto"/>
              <w:right w:val="single" w:sz="4" w:space="0" w:color="auto"/>
            </w:tcBorders>
            <w:shd w:val="clear" w:color="000000" w:fill="D9D9D6"/>
            <w:vAlign w:val="center"/>
            <w:hideMark/>
          </w:tcPr>
          <w:p w14:paraId="0BB33EB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680" w:type="dxa"/>
            <w:tcBorders>
              <w:top w:val="nil"/>
              <w:left w:val="nil"/>
              <w:bottom w:val="single" w:sz="4" w:space="0" w:color="auto"/>
              <w:right w:val="single" w:sz="4" w:space="0" w:color="auto"/>
            </w:tcBorders>
            <w:shd w:val="clear" w:color="000000" w:fill="D9D9D6"/>
            <w:vAlign w:val="center"/>
            <w:hideMark/>
          </w:tcPr>
          <w:p w14:paraId="767ABD06"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00" w:type="dxa"/>
            <w:tcBorders>
              <w:top w:val="nil"/>
              <w:left w:val="nil"/>
              <w:bottom w:val="single" w:sz="4" w:space="0" w:color="auto"/>
              <w:right w:val="single" w:sz="4" w:space="0" w:color="auto"/>
            </w:tcBorders>
            <w:shd w:val="clear" w:color="000000" w:fill="D9D9D6"/>
            <w:vAlign w:val="center"/>
            <w:hideMark/>
          </w:tcPr>
          <w:p w14:paraId="5DB2880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00" w:type="dxa"/>
            <w:tcBorders>
              <w:top w:val="nil"/>
              <w:left w:val="nil"/>
              <w:bottom w:val="single" w:sz="4" w:space="0" w:color="auto"/>
              <w:right w:val="single" w:sz="4" w:space="0" w:color="auto"/>
            </w:tcBorders>
            <w:shd w:val="clear" w:color="000000" w:fill="D9D9D6"/>
            <w:vAlign w:val="center"/>
            <w:hideMark/>
          </w:tcPr>
          <w:p w14:paraId="2518512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r>
      <w:tr w:rsidR="00A2360C" w:rsidRPr="00A2360C" w14:paraId="11E4694E" w14:textId="77777777" w:rsidTr="00A2360C">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11015B62"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9. Sisemajanduse nõudlus</w:t>
            </w:r>
          </w:p>
        </w:tc>
        <w:tc>
          <w:tcPr>
            <w:tcW w:w="960" w:type="dxa"/>
            <w:tcBorders>
              <w:top w:val="nil"/>
              <w:left w:val="nil"/>
              <w:bottom w:val="single" w:sz="4" w:space="0" w:color="auto"/>
              <w:right w:val="single" w:sz="4" w:space="0" w:color="auto"/>
            </w:tcBorders>
            <w:shd w:val="clear" w:color="auto" w:fill="auto"/>
            <w:vAlign w:val="center"/>
            <w:hideMark/>
          </w:tcPr>
          <w:p w14:paraId="7C1B6629"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4,6</w:t>
            </w:r>
          </w:p>
        </w:tc>
        <w:tc>
          <w:tcPr>
            <w:tcW w:w="740" w:type="dxa"/>
            <w:tcBorders>
              <w:top w:val="nil"/>
              <w:left w:val="nil"/>
              <w:bottom w:val="single" w:sz="4" w:space="0" w:color="auto"/>
              <w:right w:val="single" w:sz="4" w:space="0" w:color="auto"/>
            </w:tcBorders>
            <w:shd w:val="clear" w:color="auto" w:fill="auto"/>
            <w:vAlign w:val="center"/>
            <w:hideMark/>
          </w:tcPr>
          <w:p w14:paraId="422B2F8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w:t>
            </w:r>
          </w:p>
        </w:tc>
        <w:tc>
          <w:tcPr>
            <w:tcW w:w="680" w:type="dxa"/>
            <w:tcBorders>
              <w:top w:val="nil"/>
              <w:left w:val="nil"/>
              <w:bottom w:val="single" w:sz="4" w:space="0" w:color="auto"/>
              <w:right w:val="single" w:sz="4" w:space="0" w:color="auto"/>
            </w:tcBorders>
            <w:shd w:val="clear" w:color="auto" w:fill="auto"/>
            <w:vAlign w:val="center"/>
            <w:hideMark/>
          </w:tcPr>
          <w:p w14:paraId="0DCA1E0A"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-1,4</w:t>
            </w:r>
          </w:p>
        </w:tc>
        <w:tc>
          <w:tcPr>
            <w:tcW w:w="640" w:type="dxa"/>
            <w:tcBorders>
              <w:top w:val="nil"/>
              <w:left w:val="nil"/>
              <w:bottom w:val="single" w:sz="4" w:space="0" w:color="auto"/>
              <w:right w:val="single" w:sz="4" w:space="0" w:color="auto"/>
            </w:tcBorders>
            <w:shd w:val="clear" w:color="auto" w:fill="auto"/>
            <w:vAlign w:val="center"/>
            <w:hideMark/>
          </w:tcPr>
          <w:p w14:paraId="1DEF25A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0,2</w:t>
            </w:r>
          </w:p>
        </w:tc>
        <w:tc>
          <w:tcPr>
            <w:tcW w:w="720" w:type="dxa"/>
            <w:tcBorders>
              <w:top w:val="nil"/>
              <w:left w:val="nil"/>
              <w:bottom w:val="single" w:sz="4" w:space="0" w:color="auto"/>
              <w:right w:val="single" w:sz="4" w:space="0" w:color="auto"/>
            </w:tcBorders>
            <w:shd w:val="clear" w:color="auto" w:fill="auto"/>
            <w:vAlign w:val="center"/>
            <w:hideMark/>
          </w:tcPr>
          <w:p w14:paraId="7A83233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3,5</w:t>
            </w:r>
          </w:p>
        </w:tc>
        <w:tc>
          <w:tcPr>
            <w:tcW w:w="680" w:type="dxa"/>
            <w:tcBorders>
              <w:top w:val="nil"/>
              <w:left w:val="nil"/>
              <w:bottom w:val="single" w:sz="4" w:space="0" w:color="auto"/>
              <w:right w:val="single" w:sz="4" w:space="0" w:color="auto"/>
            </w:tcBorders>
            <w:shd w:val="clear" w:color="auto" w:fill="auto"/>
            <w:vAlign w:val="center"/>
            <w:hideMark/>
          </w:tcPr>
          <w:p w14:paraId="13EC039A"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2,6</w:t>
            </w:r>
          </w:p>
        </w:tc>
        <w:tc>
          <w:tcPr>
            <w:tcW w:w="700" w:type="dxa"/>
            <w:tcBorders>
              <w:top w:val="nil"/>
              <w:left w:val="nil"/>
              <w:bottom w:val="single" w:sz="4" w:space="0" w:color="auto"/>
              <w:right w:val="single" w:sz="4" w:space="0" w:color="auto"/>
            </w:tcBorders>
            <w:shd w:val="clear" w:color="auto" w:fill="auto"/>
            <w:vAlign w:val="center"/>
            <w:hideMark/>
          </w:tcPr>
          <w:p w14:paraId="6052EB0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1,3</w:t>
            </w:r>
          </w:p>
        </w:tc>
        <w:tc>
          <w:tcPr>
            <w:tcW w:w="700" w:type="dxa"/>
            <w:tcBorders>
              <w:top w:val="nil"/>
              <w:left w:val="nil"/>
              <w:bottom w:val="single" w:sz="4" w:space="0" w:color="auto"/>
              <w:right w:val="single" w:sz="4" w:space="0" w:color="auto"/>
            </w:tcBorders>
            <w:shd w:val="clear" w:color="auto" w:fill="auto"/>
            <w:vAlign w:val="center"/>
            <w:hideMark/>
          </w:tcPr>
          <w:p w14:paraId="680E912D"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2,1</w:t>
            </w:r>
          </w:p>
        </w:tc>
      </w:tr>
      <w:tr w:rsidR="00A2360C" w:rsidRPr="00A2360C" w14:paraId="20E28630" w14:textId="77777777" w:rsidTr="00A2360C">
        <w:trPr>
          <w:trHeight w:val="300"/>
        </w:trPr>
        <w:tc>
          <w:tcPr>
            <w:tcW w:w="3820" w:type="dxa"/>
            <w:tcBorders>
              <w:top w:val="nil"/>
              <w:left w:val="single" w:sz="4" w:space="0" w:color="auto"/>
              <w:bottom w:val="single" w:sz="4" w:space="0" w:color="auto"/>
              <w:right w:val="single" w:sz="4" w:space="0" w:color="auto"/>
            </w:tcBorders>
            <w:shd w:val="clear" w:color="000000" w:fill="D9D9D6"/>
            <w:vAlign w:val="center"/>
            <w:hideMark/>
          </w:tcPr>
          <w:p w14:paraId="02A895C7"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sz w:val="18"/>
                <w:szCs w:val="18"/>
                <w:lang w:eastAsia="et-EE"/>
              </w:rPr>
              <w:t>10. Kaupade ja teenuste bilanss</w:t>
            </w:r>
          </w:p>
        </w:tc>
        <w:tc>
          <w:tcPr>
            <w:tcW w:w="960" w:type="dxa"/>
            <w:tcBorders>
              <w:top w:val="nil"/>
              <w:left w:val="nil"/>
              <w:bottom w:val="single" w:sz="4" w:space="0" w:color="auto"/>
              <w:right w:val="single" w:sz="4" w:space="0" w:color="auto"/>
            </w:tcBorders>
            <w:shd w:val="clear" w:color="000000" w:fill="D9D9D6"/>
            <w:vAlign w:val="center"/>
            <w:hideMark/>
          </w:tcPr>
          <w:p w14:paraId="1886AEDD"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w:t>
            </w:r>
          </w:p>
        </w:tc>
        <w:tc>
          <w:tcPr>
            <w:tcW w:w="740" w:type="dxa"/>
            <w:tcBorders>
              <w:top w:val="nil"/>
              <w:left w:val="nil"/>
              <w:bottom w:val="single" w:sz="4" w:space="0" w:color="auto"/>
              <w:right w:val="single" w:sz="4" w:space="0" w:color="auto"/>
            </w:tcBorders>
            <w:shd w:val="clear" w:color="000000" w:fill="D9D9D6"/>
            <w:vAlign w:val="center"/>
            <w:hideMark/>
          </w:tcPr>
          <w:p w14:paraId="01EF1747"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-0,4</w:t>
            </w:r>
          </w:p>
        </w:tc>
        <w:tc>
          <w:tcPr>
            <w:tcW w:w="680" w:type="dxa"/>
            <w:tcBorders>
              <w:top w:val="nil"/>
              <w:left w:val="nil"/>
              <w:bottom w:val="single" w:sz="4" w:space="0" w:color="auto"/>
              <w:right w:val="single" w:sz="4" w:space="0" w:color="auto"/>
            </w:tcBorders>
            <w:shd w:val="clear" w:color="000000" w:fill="D9D9D6"/>
            <w:vAlign w:val="center"/>
            <w:hideMark/>
          </w:tcPr>
          <w:p w14:paraId="4C5CB1B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-1,5</w:t>
            </w:r>
          </w:p>
        </w:tc>
        <w:tc>
          <w:tcPr>
            <w:tcW w:w="640" w:type="dxa"/>
            <w:tcBorders>
              <w:top w:val="nil"/>
              <w:left w:val="nil"/>
              <w:bottom w:val="single" w:sz="4" w:space="0" w:color="auto"/>
              <w:right w:val="single" w:sz="4" w:space="0" w:color="auto"/>
            </w:tcBorders>
            <w:shd w:val="clear" w:color="000000" w:fill="D9D9D6"/>
            <w:vAlign w:val="center"/>
            <w:hideMark/>
          </w:tcPr>
          <w:p w14:paraId="1B1BB3A6"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-0,5</w:t>
            </w:r>
          </w:p>
        </w:tc>
        <w:tc>
          <w:tcPr>
            <w:tcW w:w="720" w:type="dxa"/>
            <w:tcBorders>
              <w:top w:val="nil"/>
              <w:left w:val="nil"/>
              <w:bottom w:val="single" w:sz="4" w:space="0" w:color="auto"/>
              <w:right w:val="single" w:sz="4" w:space="0" w:color="auto"/>
            </w:tcBorders>
            <w:shd w:val="clear" w:color="000000" w:fill="D9D9D6"/>
            <w:vAlign w:val="center"/>
            <w:hideMark/>
          </w:tcPr>
          <w:p w14:paraId="10C7A7D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-0,7</w:t>
            </w:r>
          </w:p>
        </w:tc>
        <w:tc>
          <w:tcPr>
            <w:tcW w:w="680" w:type="dxa"/>
            <w:tcBorders>
              <w:top w:val="nil"/>
              <w:left w:val="nil"/>
              <w:bottom w:val="single" w:sz="4" w:space="0" w:color="auto"/>
              <w:right w:val="single" w:sz="4" w:space="0" w:color="auto"/>
            </w:tcBorders>
            <w:shd w:val="clear" w:color="000000" w:fill="D9D9D6"/>
            <w:vAlign w:val="center"/>
            <w:hideMark/>
          </w:tcPr>
          <w:p w14:paraId="567DE5D3"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0,1</w:t>
            </w:r>
          </w:p>
        </w:tc>
        <w:tc>
          <w:tcPr>
            <w:tcW w:w="700" w:type="dxa"/>
            <w:tcBorders>
              <w:top w:val="nil"/>
              <w:left w:val="nil"/>
              <w:bottom w:val="single" w:sz="4" w:space="0" w:color="auto"/>
              <w:right w:val="single" w:sz="4" w:space="0" w:color="auto"/>
            </w:tcBorders>
            <w:shd w:val="clear" w:color="000000" w:fill="D9D9D6"/>
            <w:vAlign w:val="center"/>
            <w:hideMark/>
          </w:tcPr>
          <w:p w14:paraId="36E6B4E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0,9</w:t>
            </w:r>
          </w:p>
        </w:tc>
        <w:tc>
          <w:tcPr>
            <w:tcW w:w="700" w:type="dxa"/>
            <w:tcBorders>
              <w:top w:val="nil"/>
              <w:left w:val="nil"/>
              <w:bottom w:val="single" w:sz="4" w:space="0" w:color="auto"/>
              <w:right w:val="single" w:sz="4" w:space="0" w:color="auto"/>
            </w:tcBorders>
            <w:shd w:val="clear" w:color="000000" w:fill="D9D9D6"/>
            <w:vAlign w:val="center"/>
            <w:hideMark/>
          </w:tcPr>
          <w:p w14:paraId="4BB604CA"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0,2</w:t>
            </w:r>
          </w:p>
        </w:tc>
      </w:tr>
      <w:tr w:rsidR="00A2360C" w:rsidRPr="00A2360C" w14:paraId="72AD7831" w14:textId="77777777" w:rsidTr="00A2360C">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2D4299E2"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Lisandväärtuse kasv</w:t>
            </w:r>
          </w:p>
        </w:tc>
        <w:tc>
          <w:tcPr>
            <w:tcW w:w="960" w:type="dxa"/>
            <w:tcBorders>
              <w:top w:val="nil"/>
              <w:left w:val="nil"/>
              <w:bottom w:val="single" w:sz="4" w:space="0" w:color="auto"/>
              <w:right w:val="single" w:sz="4" w:space="0" w:color="auto"/>
            </w:tcBorders>
            <w:shd w:val="clear" w:color="auto" w:fill="auto"/>
            <w:vAlign w:val="center"/>
            <w:hideMark/>
          </w:tcPr>
          <w:p w14:paraId="6F1640A6"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40" w:type="dxa"/>
            <w:tcBorders>
              <w:top w:val="nil"/>
              <w:left w:val="nil"/>
              <w:bottom w:val="single" w:sz="4" w:space="0" w:color="auto"/>
              <w:right w:val="single" w:sz="4" w:space="0" w:color="auto"/>
            </w:tcBorders>
            <w:shd w:val="clear" w:color="auto" w:fill="auto"/>
            <w:vAlign w:val="center"/>
            <w:hideMark/>
          </w:tcPr>
          <w:p w14:paraId="43BB206F"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680" w:type="dxa"/>
            <w:tcBorders>
              <w:top w:val="nil"/>
              <w:left w:val="nil"/>
              <w:bottom w:val="single" w:sz="4" w:space="0" w:color="auto"/>
              <w:right w:val="single" w:sz="4" w:space="0" w:color="auto"/>
            </w:tcBorders>
            <w:shd w:val="clear" w:color="auto" w:fill="auto"/>
            <w:vAlign w:val="center"/>
            <w:hideMark/>
          </w:tcPr>
          <w:p w14:paraId="7CD80D2D"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640" w:type="dxa"/>
            <w:tcBorders>
              <w:top w:val="nil"/>
              <w:left w:val="nil"/>
              <w:bottom w:val="single" w:sz="4" w:space="0" w:color="auto"/>
              <w:right w:val="single" w:sz="4" w:space="0" w:color="auto"/>
            </w:tcBorders>
            <w:shd w:val="clear" w:color="auto" w:fill="auto"/>
            <w:vAlign w:val="center"/>
            <w:hideMark/>
          </w:tcPr>
          <w:p w14:paraId="077E62CC"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20" w:type="dxa"/>
            <w:tcBorders>
              <w:top w:val="nil"/>
              <w:left w:val="nil"/>
              <w:bottom w:val="single" w:sz="4" w:space="0" w:color="auto"/>
              <w:right w:val="single" w:sz="4" w:space="0" w:color="auto"/>
            </w:tcBorders>
            <w:shd w:val="clear" w:color="auto" w:fill="auto"/>
            <w:vAlign w:val="center"/>
            <w:hideMark/>
          </w:tcPr>
          <w:p w14:paraId="16A0F1DF"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680" w:type="dxa"/>
            <w:tcBorders>
              <w:top w:val="nil"/>
              <w:left w:val="nil"/>
              <w:bottom w:val="single" w:sz="4" w:space="0" w:color="auto"/>
              <w:right w:val="single" w:sz="4" w:space="0" w:color="auto"/>
            </w:tcBorders>
            <w:shd w:val="clear" w:color="auto" w:fill="auto"/>
            <w:vAlign w:val="center"/>
            <w:hideMark/>
          </w:tcPr>
          <w:p w14:paraId="376BAF9C"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00" w:type="dxa"/>
            <w:tcBorders>
              <w:top w:val="nil"/>
              <w:left w:val="nil"/>
              <w:bottom w:val="single" w:sz="4" w:space="0" w:color="auto"/>
              <w:right w:val="single" w:sz="4" w:space="0" w:color="auto"/>
            </w:tcBorders>
            <w:shd w:val="clear" w:color="auto" w:fill="auto"/>
            <w:vAlign w:val="center"/>
            <w:hideMark/>
          </w:tcPr>
          <w:p w14:paraId="393CC4F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c>
          <w:tcPr>
            <w:tcW w:w="700" w:type="dxa"/>
            <w:tcBorders>
              <w:top w:val="nil"/>
              <w:left w:val="nil"/>
              <w:bottom w:val="single" w:sz="4" w:space="0" w:color="auto"/>
              <w:right w:val="single" w:sz="4" w:space="0" w:color="auto"/>
            </w:tcBorders>
            <w:shd w:val="clear" w:color="auto" w:fill="auto"/>
            <w:vAlign w:val="center"/>
            <w:hideMark/>
          </w:tcPr>
          <w:p w14:paraId="6B5D3B01"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 </w:t>
            </w:r>
          </w:p>
        </w:tc>
      </w:tr>
      <w:tr w:rsidR="00A2360C" w:rsidRPr="00A2360C" w14:paraId="320B81F5" w14:textId="77777777" w:rsidTr="00A2360C">
        <w:trPr>
          <w:trHeight w:val="300"/>
        </w:trPr>
        <w:tc>
          <w:tcPr>
            <w:tcW w:w="3820" w:type="dxa"/>
            <w:tcBorders>
              <w:top w:val="nil"/>
              <w:left w:val="single" w:sz="4" w:space="0" w:color="auto"/>
              <w:bottom w:val="single" w:sz="4" w:space="0" w:color="auto"/>
              <w:right w:val="single" w:sz="4" w:space="0" w:color="auto"/>
            </w:tcBorders>
            <w:shd w:val="clear" w:color="000000" w:fill="D9D9D6"/>
            <w:vAlign w:val="center"/>
            <w:hideMark/>
          </w:tcPr>
          <w:p w14:paraId="03E8E01F"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sz w:val="18"/>
                <w:szCs w:val="18"/>
                <w:lang w:eastAsia="et-EE"/>
              </w:rPr>
              <w:t>11. Primaarsektor</w:t>
            </w:r>
          </w:p>
        </w:tc>
        <w:tc>
          <w:tcPr>
            <w:tcW w:w="960" w:type="dxa"/>
            <w:tcBorders>
              <w:top w:val="nil"/>
              <w:left w:val="nil"/>
              <w:bottom w:val="single" w:sz="4" w:space="0" w:color="auto"/>
              <w:right w:val="single" w:sz="4" w:space="0" w:color="auto"/>
            </w:tcBorders>
            <w:shd w:val="clear" w:color="000000" w:fill="D9D9D6"/>
            <w:vAlign w:val="center"/>
            <w:hideMark/>
          </w:tcPr>
          <w:p w14:paraId="17EAC38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w:t>
            </w:r>
          </w:p>
        </w:tc>
        <w:tc>
          <w:tcPr>
            <w:tcW w:w="740" w:type="dxa"/>
            <w:tcBorders>
              <w:top w:val="nil"/>
              <w:left w:val="nil"/>
              <w:bottom w:val="single" w:sz="4" w:space="0" w:color="auto"/>
              <w:right w:val="single" w:sz="4" w:space="0" w:color="auto"/>
            </w:tcBorders>
            <w:shd w:val="clear" w:color="000000" w:fill="D9D9D6"/>
            <w:vAlign w:val="center"/>
            <w:hideMark/>
          </w:tcPr>
          <w:p w14:paraId="245BE9B6"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-23,7</w:t>
            </w:r>
          </w:p>
        </w:tc>
        <w:tc>
          <w:tcPr>
            <w:tcW w:w="680" w:type="dxa"/>
            <w:tcBorders>
              <w:top w:val="nil"/>
              <w:left w:val="nil"/>
              <w:bottom w:val="single" w:sz="4" w:space="0" w:color="auto"/>
              <w:right w:val="single" w:sz="4" w:space="0" w:color="auto"/>
            </w:tcBorders>
            <w:shd w:val="clear" w:color="000000" w:fill="D9D9D6"/>
            <w:vAlign w:val="center"/>
            <w:hideMark/>
          </w:tcPr>
          <w:p w14:paraId="7521B285"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10,6</w:t>
            </w:r>
          </w:p>
        </w:tc>
        <w:tc>
          <w:tcPr>
            <w:tcW w:w="640" w:type="dxa"/>
            <w:tcBorders>
              <w:top w:val="nil"/>
              <w:left w:val="nil"/>
              <w:bottom w:val="single" w:sz="4" w:space="0" w:color="auto"/>
              <w:right w:val="single" w:sz="4" w:space="0" w:color="auto"/>
            </w:tcBorders>
            <w:shd w:val="clear" w:color="000000" w:fill="D9D9D6"/>
            <w:vAlign w:val="center"/>
            <w:hideMark/>
          </w:tcPr>
          <w:p w14:paraId="28CA9C7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1,2</w:t>
            </w:r>
          </w:p>
        </w:tc>
        <w:tc>
          <w:tcPr>
            <w:tcW w:w="720" w:type="dxa"/>
            <w:tcBorders>
              <w:top w:val="nil"/>
              <w:left w:val="nil"/>
              <w:bottom w:val="single" w:sz="4" w:space="0" w:color="auto"/>
              <w:right w:val="single" w:sz="4" w:space="0" w:color="auto"/>
            </w:tcBorders>
            <w:shd w:val="clear" w:color="000000" w:fill="D9D9D6"/>
            <w:vAlign w:val="center"/>
            <w:hideMark/>
          </w:tcPr>
          <w:p w14:paraId="7FE25121"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w:t>
            </w:r>
          </w:p>
        </w:tc>
        <w:tc>
          <w:tcPr>
            <w:tcW w:w="680" w:type="dxa"/>
            <w:tcBorders>
              <w:top w:val="nil"/>
              <w:left w:val="nil"/>
              <w:bottom w:val="single" w:sz="4" w:space="0" w:color="auto"/>
              <w:right w:val="single" w:sz="4" w:space="0" w:color="auto"/>
            </w:tcBorders>
            <w:shd w:val="clear" w:color="000000" w:fill="D9D9D6"/>
            <w:vAlign w:val="center"/>
            <w:hideMark/>
          </w:tcPr>
          <w:p w14:paraId="284F6A8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w:t>
            </w:r>
          </w:p>
        </w:tc>
        <w:tc>
          <w:tcPr>
            <w:tcW w:w="700" w:type="dxa"/>
            <w:tcBorders>
              <w:top w:val="nil"/>
              <w:left w:val="nil"/>
              <w:bottom w:val="single" w:sz="4" w:space="0" w:color="auto"/>
              <w:right w:val="single" w:sz="4" w:space="0" w:color="auto"/>
            </w:tcBorders>
            <w:shd w:val="clear" w:color="000000" w:fill="D9D9D6"/>
            <w:vAlign w:val="center"/>
            <w:hideMark/>
          </w:tcPr>
          <w:p w14:paraId="09B5B919"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w:t>
            </w:r>
          </w:p>
        </w:tc>
        <w:tc>
          <w:tcPr>
            <w:tcW w:w="700" w:type="dxa"/>
            <w:tcBorders>
              <w:top w:val="nil"/>
              <w:left w:val="nil"/>
              <w:bottom w:val="single" w:sz="4" w:space="0" w:color="auto"/>
              <w:right w:val="single" w:sz="4" w:space="0" w:color="auto"/>
            </w:tcBorders>
            <w:shd w:val="clear" w:color="000000" w:fill="D9D9D6"/>
            <w:vAlign w:val="center"/>
            <w:hideMark/>
          </w:tcPr>
          <w:p w14:paraId="1B8AAC95"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w:t>
            </w:r>
          </w:p>
        </w:tc>
      </w:tr>
      <w:tr w:rsidR="00A2360C" w:rsidRPr="00A2360C" w14:paraId="2EF66D33" w14:textId="77777777" w:rsidTr="00A2360C">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7E8565D2"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12. Tööstus</w:t>
            </w:r>
          </w:p>
        </w:tc>
        <w:tc>
          <w:tcPr>
            <w:tcW w:w="960" w:type="dxa"/>
            <w:tcBorders>
              <w:top w:val="nil"/>
              <w:left w:val="nil"/>
              <w:bottom w:val="single" w:sz="4" w:space="0" w:color="auto"/>
              <w:right w:val="single" w:sz="4" w:space="0" w:color="auto"/>
            </w:tcBorders>
            <w:shd w:val="clear" w:color="auto" w:fill="auto"/>
            <w:vAlign w:val="center"/>
            <w:hideMark/>
          </w:tcPr>
          <w:p w14:paraId="5EA036FA"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3,6</w:t>
            </w:r>
          </w:p>
        </w:tc>
        <w:tc>
          <w:tcPr>
            <w:tcW w:w="740" w:type="dxa"/>
            <w:tcBorders>
              <w:top w:val="nil"/>
              <w:left w:val="nil"/>
              <w:bottom w:val="single" w:sz="4" w:space="0" w:color="auto"/>
              <w:right w:val="single" w:sz="4" w:space="0" w:color="auto"/>
            </w:tcBorders>
            <w:shd w:val="clear" w:color="auto" w:fill="auto"/>
            <w:vAlign w:val="center"/>
            <w:hideMark/>
          </w:tcPr>
          <w:p w14:paraId="436A013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-4,9</w:t>
            </w:r>
          </w:p>
        </w:tc>
        <w:tc>
          <w:tcPr>
            <w:tcW w:w="680" w:type="dxa"/>
            <w:tcBorders>
              <w:top w:val="nil"/>
              <w:left w:val="nil"/>
              <w:bottom w:val="single" w:sz="4" w:space="0" w:color="auto"/>
              <w:right w:val="single" w:sz="4" w:space="0" w:color="auto"/>
            </w:tcBorders>
            <w:shd w:val="clear" w:color="auto" w:fill="auto"/>
            <w:vAlign w:val="center"/>
            <w:hideMark/>
          </w:tcPr>
          <w:p w14:paraId="54BE7AF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-6,8</w:t>
            </w:r>
          </w:p>
        </w:tc>
        <w:tc>
          <w:tcPr>
            <w:tcW w:w="640" w:type="dxa"/>
            <w:tcBorders>
              <w:top w:val="nil"/>
              <w:left w:val="nil"/>
              <w:bottom w:val="single" w:sz="4" w:space="0" w:color="auto"/>
              <w:right w:val="single" w:sz="4" w:space="0" w:color="auto"/>
            </w:tcBorders>
            <w:shd w:val="clear" w:color="auto" w:fill="auto"/>
            <w:vAlign w:val="center"/>
            <w:hideMark/>
          </w:tcPr>
          <w:p w14:paraId="2A814974"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-1,3</w:t>
            </w:r>
          </w:p>
        </w:tc>
        <w:tc>
          <w:tcPr>
            <w:tcW w:w="720" w:type="dxa"/>
            <w:tcBorders>
              <w:top w:val="nil"/>
              <w:left w:val="nil"/>
              <w:bottom w:val="single" w:sz="4" w:space="0" w:color="auto"/>
              <w:right w:val="single" w:sz="4" w:space="0" w:color="auto"/>
            </w:tcBorders>
            <w:shd w:val="clear" w:color="auto" w:fill="auto"/>
            <w:vAlign w:val="center"/>
            <w:hideMark/>
          </w:tcPr>
          <w:p w14:paraId="3CEB9F3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3,3</w:t>
            </w:r>
          </w:p>
        </w:tc>
        <w:tc>
          <w:tcPr>
            <w:tcW w:w="680" w:type="dxa"/>
            <w:tcBorders>
              <w:top w:val="nil"/>
              <w:left w:val="nil"/>
              <w:bottom w:val="single" w:sz="4" w:space="0" w:color="auto"/>
              <w:right w:val="single" w:sz="4" w:space="0" w:color="auto"/>
            </w:tcBorders>
            <w:shd w:val="clear" w:color="auto" w:fill="auto"/>
            <w:vAlign w:val="center"/>
            <w:hideMark/>
          </w:tcPr>
          <w:p w14:paraId="3646C92F"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3,3</w:t>
            </w:r>
          </w:p>
        </w:tc>
        <w:tc>
          <w:tcPr>
            <w:tcW w:w="700" w:type="dxa"/>
            <w:tcBorders>
              <w:top w:val="nil"/>
              <w:left w:val="nil"/>
              <w:bottom w:val="single" w:sz="4" w:space="0" w:color="auto"/>
              <w:right w:val="single" w:sz="4" w:space="0" w:color="auto"/>
            </w:tcBorders>
            <w:shd w:val="clear" w:color="auto" w:fill="auto"/>
            <w:vAlign w:val="center"/>
            <w:hideMark/>
          </w:tcPr>
          <w:p w14:paraId="54A0D442"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3,1</w:t>
            </w:r>
          </w:p>
        </w:tc>
        <w:tc>
          <w:tcPr>
            <w:tcW w:w="700" w:type="dxa"/>
            <w:tcBorders>
              <w:top w:val="nil"/>
              <w:left w:val="nil"/>
              <w:bottom w:val="single" w:sz="4" w:space="0" w:color="auto"/>
              <w:right w:val="single" w:sz="4" w:space="0" w:color="auto"/>
            </w:tcBorders>
            <w:shd w:val="clear" w:color="auto" w:fill="auto"/>
            <w:vAlign w:val="center"/>
            <w:hideMark/>
          </w:tcPr>
          <w:p w14:paraId="38FBCD0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3,1</w:t>
            </w:r>
          </w:p>
        </w:tc>
      </w:tr>
      <w:tr w:rsidR="00A2360C" w:rsidRPr="00A2360C" w14:paraId="22486F26" w14:textId="77777777" w:rsidTr="00A2360C">
        <w:trPr>
          <w:trHeight w:val="300"/>
        </w:trPr>
        <w:tc>
          <w:tcPr>
            <w:tcW w:w="3820" w:type="dxa"/>
            <w:tcBorders>
              <w:top w:val="nil"/>
              <w:left w:val="single" w:sz="4" w:space="0" w:color="auto"/>
              <w:bottom w:val="single" w:sz="4" w:space="0" w:color="auto"/>
              <w:right w:val="single" w:sz="4" w:space="0" w:color="auto"/>
            </w:tcBorders>
            <w:shd w:val="clear" w:color="000000" w:fill="D9D9D6"/>
            <w:vAlign w:val="center"/>
            <w:hideMark/>
          </w:tcPr>
          <w:p w14:paraId="3EC81292"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sz w:val="18"/>
                <w:szCs w:val="18"/>
                <w:lang w:eastAsia="et-EE"/>
              </w:rPr>
              <w:t>13. Ehitus</w:t>
            </w:r>
          </w:p>
        </w:tc>
        <w:tc>
          <w:tcPr>
            <w:tcW w:w="960" w:type="dxa"/>
            <w:tcBorders>
              <w:top w:val="nil"/>
              <w:left w:val="nil"/>
              <w:bottom w:val="single" w:sz="4" w:space="0" w:color="auto"/>
              <w:right w:val="single" w:sz="4" w:space="0" w:color="auto"/>
            </w:tcBorders>
            <w:shd w:val="clear" w:color="000000" w:fill="D9D9D6"/>
            <w:vAlign w:val="center"/>
            <w:hideMark/>
          </w:tcPr>
          <w:p w14:paraId="1C7D4B1A"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7,2</w:t>
            </w:r>
          </w:p>
        </w:tc>
        <w:tc>
          <w:tcPr>
            <w:tcW w:w="740" w:type="dxa"/>
            <w:tcBorders>
              <w:top w:val="nil"/>
              <w:left w:val="nil"/>
              <w:bottom w:val="single" w:sz="4" w:space="0" w:color="auto"/>
              <w:right w:val="single" w:sz="4" w:space="0" w:color="auto"/>
            </w:tcBorders>
            <w:shd w:val="clear" w:color="000000" w:fill="D9D9D6"/>
            <w:vAlign w:val="center"/>
            <w:hideMark/>
          </w:tcPr>
          <w:p w14:paraId="0DB6D2AE"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0,2</w:t>
            </w:r>
          </w:p>
        </w:tc>
        <w:tc>
          <w:tcPr>
            <w:tcW w:w="680" w:type="dxa"/>
            <w:tcBorders>
              <w:top w:val="nil"/>
              <w:left w:val="nil"/>
              <w:bottom w:val="single" w:sz="4" w:space="0" w:color="auto"/>
              <w:right w:val="single" w:sz="4" w:space="0" w:color="auto"/>
            </w:tcBorders>
            <w:shd w:val="clear" w:color="000000" w:fill="D9D9D6"/>
            <w:vAlign w:val="center"/>
            <w:hideMark/>
          </w:tcPr>
          <w:p w14:paraId="39BD1376"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-8,5</w:t>
            </w:r>
          </w:p>
        </w:tc>
        <w:tc>
          <w:tcPr>
            <w:tcW w:w="640" w:type="dxa"/>
            <w:tcBorders>
              <w:top w:val="nil"/>
              <w:left w:val="nil"/>
              <w:bottom w:val="single" w:sz="4" w:space="0" w:color="auto"/>
              <w:right w:val="single" w:sz="4" w:space="0" w:color="auto"/>
            </w:tcBorders>
            <w:shd w:val="clear" w:color="000000" w:fill="D9D9D6"/>
            <w:vAlign w:val="center"/>
            <w:hideMark/>
          </w:tcPr>
          <w:p w14:paraId="25A05CD4"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-0,5</w:t>
            </w:r>
          </w:p>
        </w:tc>
        <w:tc>
          <w:tcPr>
            <w:tcW w:w="720" w:type="dxa"/>
            <w:tcBorders>
              <w:top w:val="nil"/>
              <w:left w:val="nil"/>
              <w:bottom w:val="single" w:sz="4" w:space="0" w:color="auto"/>
              <w:right w:val="single" w:sz="4" w:space="0" w:color="auto"/>
            </w:tcBorders>
            <w:shd w:val="clear" w:color="000000" w:fill="D9D9D6"/>
            <w:vAlign w:val="center"/>
            <w:hideMark/>
          </w:tcPr>
          <w:p w14:paraId="1415E505"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4,1</w:t>
            </w:r>
          </w:p>
        </w:tc>
        <w:tc>
          <w:tcPr>
            <w:tcW w:w="680" w:type="dxa"/>
            <w:tcBorders>
              <w:top w:val="nil"/>
              <w:left w:val="nil"/>
              <w:bottom w:val="single" w:sz="4" w:space="0" w:color="auto"/>
              <w:right w:val="single" w:sz="4" w:space="0" w:color="auto"/>
            </w:tcBorders>
            <w:shd w:val="clear" w:color="000000" w:fill="D9D9D6"/>
            <w:vAlign w:val="center"/>
            <w:hideMark/>
          </w:tcPr>
          <w:p w14:paraId="26FFA68B"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4,1</w:t>
            </w:r>
          </w:p>
        </w:tc>
        <w:tc>
          <w:tcPr>
            <w:tcW w:w="700" w:type="dxa"/>
            <w:tcBorders>
              <w:top w:val="nil"/>
              <w:left w:val="nil"/>
              <w:bottom w:val="single" w:sz="4" w:space="0" w:color="auto"/>
              <w:right w:val="single" w:sz="4" w:space="0" w:color="auto"/>
            </w:tcBorders>
            <w:shd w:val="clear" w:color="000000" w:fill="D9D9D6"/>
            <w:vAlign w:val="center"/>
            <w:hideMark/>
          </w:tcPr>
          <w:p w14:paraId="38A4DF0A"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3,1</w:t>
            </w:r>
          </w:p>
        </w:tc>
        <w:tc>
          <w:tcPr>
            <w:tcW w:w="700" w:type="dxa"/>
            <w:tcBorders>
              <w:top w:val="nil"/>
              <w:left w:val="nil"/>
              <w:bottom w:val="single" w:sz="4" w:space="0" w:color="auto"/>
              <w:right w:val="single" w:sz="4" w:space="0" w:color="auto"/>
            </w:tcBorders>
            <w:shd w:val="clear" w:color="000000" w:fill="D9D9D6"/>
            <w:vAlign w:val="center"/>
            <w:hideMark/>
          </w:tcPr>
          <w:p w14:paraId="280D537B"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3,1</w:t>
            </w:r>
          </w:p>
        </w:tc>
      </w:tr>
      <w:tr w:rsidR="00A2360C" w:rsidRPr="00A2360C" w14:paraId="6BC47DC4" w14:textId="77777777" w:rsidTr="00A2360C">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4FDCD9FF" w14:textId="77777777" w:rsidR="00A2360C" w:rsidRPr="00A2360C" w:rsidRDefault="00A2360C" w:rsidP="00A2360C">
            <w:pPr>
              <w:spacing w:after="0" w:line="240" w:lineRule="auto"/>
              <w:jc w:val="both"/>
              <w:rPr>
                <w:rFonts w:ascii="Segoe UI Light" w:eastAsia="Times New Roman" w:hAnsi="Segoe UI Light" w:cs="Segoe UI Light"/>
                <w:b/>
                <w:bCs/>
                <w:color w:val="000000"/>
                <w:sz w:val="18"/>
                <w:szCs w:val="18"/>
                <w:lang w:eastAsia="et-EE"/>
              </w:rPr>
            </w:pPr>
            <w:r w:rsidRPr="00A2360C">
              <w:rPr>
                <w:rFonts w:ascii="Segoe UI Light" w:eastAsia="Times New Roman" w:hAnsi="Segoe UI Light" w:cs="Segoe UI Light"/>
                <w:b/>
                <w:bCs/>
                <w:color w:val="000000"/>
                <w:sz w:val="18"/>
                <w:szCs w:val="18"/>
                <w:lang w:eastAsia="et-EE"/>
              </w:rPr>
              <w:t>14. Teenused</w:t>
            </w:r>
          </w:p>
        </w:tc>
        <w:tc>
          <w:tcPr>
            <w:tcW w:w="960" w:type="dxa"/>
            <w:tcBorders>
              <w:top w:val="nil"/>
              <w:left w:val="nil"/>
              <w:bottom w:val="single" w:sz="4" w:space="0" w:color="auto"/>
              <w:right w:val="single" w:sz="4" w:space="0" w:color="auto"/>
            </w:tcBorders>
            <w:shd w:val="clear" w:color="auto" w:fill="auto"/>
            <w:vAlign w:val="center"/>
            <w:hideMark/>
          </w:tcPr>
          <w:p w14:paraId="66A3F9A1"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3,4</w:t>
            </w:r>
          </w:p>
        </w:tc>
        <w:tc>
          <w:tcPr>
            <w:tcW w:w="740" w:type="dxa"/>
            <w:tcBorders>
              <w:top w:val="nil"/>
              <w:left w:val="nil"/>
              <w:bottom w:val="single" w:sz="4" w:space="0" w:color="auto"/>
              <w:right w:val="single" w:sz="4" w:space="0" w:color="auto"/>
            </w:tcBorders>
            <w:shd w:val="clear" w:color="auto" w:fill="auto"/>
            <w:vAlign w:val="center"/>
            <w:hideMark/>
          </w:tcPr>
          <w:p w14:paraId="3BAC8834"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1,8</w:t>
            </w:r>
          </w:p>
        </w:tc>
        <w:tc>
          <w:tcPr>
            <w:tcW w:w="680" w:type="dxa"/>
            <w:tcBorders>
              <w:top w:val="nil"/>
              <w:left w:val="nil"/>
              <w:bottom w:val="single" w:sz="4" w:space="0" w:color="auto"/>
              <w:right w:val="single" w:sz="4" w:space="0" w:color="auto"/>
            </w:tcBorders>
            <w:shd w:val="clear" w:color="auto" w:fill="auto"/>
            <w:vAlign w:val="center"/>
            <w:hideMark/>
          </w:tcPr>
          <w:p w14:paraId="64F21040"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-1,9</w:t>
            </w:r>
          </w:p>
        </w:tc>
        <w:tc>
          <w:tcPr>
            <w:tcW w:w="640" w:type="dxa"/>
            <w:tcBorders>
              <w:top w:val="nil"/>
              <w:left w:val="nil"/>
              <w:bottom w:val="single" w:sz="4" w:space="0" w:color="auto"/>
              <w:right w:val="single" w:sz="4" w:space="0" w:color="auto"/>
            </w:tcBorders>
            <w:shd w:val="clear" w:color="auto" w:fill="auto"/>
            <w:vAlign w:val="center"/>
            <w:hideMark/>
          </w:tcPr>
          <w:p w14:paraId="35664D87"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0,3</w:t>
            </w:r>
          </w:p>
        </w:tc>
        <w:tc>
          <w:tcPr>
            <w:tcW w:w="720" w:type="dxa"/>
            <w:tcBorders>
              <w:top w:val="nil"/>
              <w:left w:val="nil"/>
              <w:bottom w:val="single" w:sz="4" w:space="0" w:color="auto"/>
              <w:right w:val="single" w:sz="4" w:space="0" w:color="auto"/>
            </w:tcBorders>
            <w:shd w:val="clear" w:color="auto" w:fill="auto"/>
            <w:vAlign w:val="center"/>
            <w:hideMark/>
          </w:tcPr>
          <w:p w14:paraId="30B90B8F"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3,3</w:t>
            </w:r>
          </w:p>
        </w:tc>
        <w:tc>
          <w:tcPr>
            <w:tcW w:w="680" w:type="dxa"/>
            <w:tcBorders>
              <w:top w:val="nil"/>
              <w:left w:val="nil"/>
              <w:bottom w:val="single" w:sz="4" w:space="0" w:color="auto"/>
              <w:right w:val="single" w:sz="4" w:space="0" w:color="auto"/>
            </w:tcBorders>
            <w:shd w:val="clear" w:color="auto" w:fill="auto"/>
            <w:vAlign w:val="center"/>
            <w:hideMark/>
          </w:tcPr>
          <w:p w14:paraId="45FD4CC8"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2,5</w:t>
            </w:r>
          </w:p>
        </w:tc>
        <w:tc>
          <w:tcPr>
            <w:tcW w:w="700" w:type="dxa"/>
            <w:tcBorders>
              <w:top w:val="nil"/>
              <w:left w:val="nil"/>
              <w:bottom w:val="single" w:sz="4" w:space="0" w:color="auto"/>
              <w:right w:val="single" w:sz="4" w:space="0" w:color="auto"/>
            </w:tcBorders>
            <w:shd w:val="clear" w:color="auto" w:fill="auto"/>
            <w:vAlign w:val="center"/>
            <w:hideMark/>
          </w:tcPr>
          <w:p w14:paraId="21777AB6"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2,3</w:t>
            </w:r>
          </w:p>
        </w:tc>
        <w:tc>
          <w:tcPr>
            <w:tcW w:w="700" w:type="dxa"/>
            <w:tcBorders>
              <w:top w:val="nil"/>
              <w:left w:val="nil"/>
              <w:bottom w:val="single" w:sz="4" w:space="0" w:color="auto"/>
              <w:right w:val="single" w:sz="4" w:space="0" w:color="auto"/>
            </w:tcBorders>
            <w:shd w:val="clear" w:color="auto" w:fill="auto"/>
            <w:vAlign w:val="center"/>
            <w:hideMark/>
          </w:tcPr>
          <w:p w14:paraId="7FAB5ABA" w14:textId="77777777" w:rsidR="00A2360C" w:rsidRPr="00A2360C" w:rsidRDefault="00A2360C" w:rsidP="00A2360C">
            <w:pPr>
              <w:spacing w:after="0" w:line="240" w:lineRule="auto"/>
              <w:jc w:val="right"/>
              <w:rPr>
                <w:rFonts w:ascii="Segoe UI Light" w:eastAsia="Times New Roman" w:hAnsi="Segoe UI Light" w:cs="Segoe UI Light"/>
                <w:color w:val="000000"/>
                <w:sz w:val="18"/>
                <w:szCs w:val="18"/>
                <w:lang w:eastAsia="et-EE"/>
              </w:rPr>
            </w:pPr>
            <w:r w:rsidRPr="00A2360C">
              <w:rPr>
                <w:rFonts w:ascii="Segoe UI Light" w:eastAsia="Times New Roman" w:hAnsi="Segoe UI Light" w:cs="Segoe UI Light"/>
                <w:color w:val="000000"/>
                <w:sz w:val="18"/>
                <w:szCs w:val="18"/>
                <w:lang w:eastAsia="et-EE"/>
              </w:rPr>
              <w:t>2,3</w:t>
            </w:r>
          </w:p>
        </w:tc>
      </w:tr>
      <w:bookmarkEnd w:id="6"/>
    </w:tbl>
    <w:p w14:paraId="692A0703" w14:textId="77777777" w:rsidR="00203CCB" w:rsidRDefault="00203CCB" w:rsidP="002D6E70">
      <w:pPr>
        <w:rPr>
          <w:rFonts w:ascii="Arial" w:hAnsi="Arial" w:cs="Arial"/>
          <w:sz w:val="24"/>
          <w:szCs w:val="24"/>
        </w:rPr>
      </w:pPr>
    </w:p>
    <w:p w14:paraId="3DCD50B9" w14:textId="5A7AB26E" w:rsidR="00203CCB" w:rsidRDefault="00C210D2" w:rsidP="002D6E70">
      <w:pPr>
        <w:rPr>
          <w:rFonts w:ascii="Arial" w:hAnsi="Arial" w:cs="Arial"/>
          <w:i/>
          <w:iCs/>
          <w:sz w:val="20"/>
          <w:szCs w:val="20"/>
        </w:rPr>
      </w:pPr>
      <w:r w:rsidRPr="00C210D2">
        <w:rPr>
          <w:rFonts w:ascii="Arial" w:hAnsi="Arial" w:cs="Arial"/>
          <w:i/>
          <w:iCs/>
          <w:sz w:val="20"/>
          <w:szCs w:val="20"/>
        </w:rPr>
        <w:t>Allikas</w:t>
      </w:r>
      <w:r>
        <w:rPr>
          <w:rFonts w:ascii="Arial" w:hAnsi="Arial" w:cs="Arial"/>
          <w:i/>
          <w:iCs/>
          <w:sz w:val="20"/>
          <w:szCs w:val="20"/>
        </w:rPr>
        <w:t xml:space="preserve">: Rahandusministeeriumi </w:t>
      </w:r>
      <w:r w:rsidR="00A2360C">
        <w:rPr>
          <w:rFonts w:ascii="Arial" w:hAnsi="Arial" w:cs="Arial"/>
          <w:i/>
          <w:iCs/>
          <w:sz w:val="20"/>
          <w:szCs w:val="20"/>
        </w:rPr>
        <w:t>kevadine</w:t>
      </w:r>
      <w:r>
        <w:rPr>
          <w:rFonts w:ascii="Arial" w:hAnsi="Arial" w:cs="Arial"/>
          <w:i/>
          <w:iCs/>
          <w:sz w:val="20"/>
          <w:szCs w:val="20"/>
        </w:rPr>
        <w:t xml:space="preserve"> prognoos </w:t>
      </w:r>
      <w:r w:rsidR="00085C9C">
        <w:rPr>
          <w:rFonts w:ascii="Arial" w:hAnsi="Arial" w:cs="Arial"/>
          <w:i/>
          <w:iCs/>
          <w:sz w:val="20"/>
          <w:szCs w:val="20"/>
        </w:rPr>
        <w:t>0</w:t>
      </w:r>
      <w:r w:rsidR="00E65309">
        <w:rPr>
          <w:rFonts w:ascii="Arial" w:hAnsi="Arial" w:cs="Arial"/>
          <w:i/>
          <w:iCs/>
          <w:sz w:val="20"/>
          <w:szCs w:val="20"/>
        </w:rPr>
        <w:t>4.0</w:t>
      </w:r>
      <w:r w:rsidR="00085C9C">
        <w:rPr>
          <w:rFonts w:ascii="Arial" w:hAnsi="Arial" w:cs="Arial"/>
          <w:i/>
          <w:iCs/>
          <w:sz w:val="20"/>
          <w:szCs w:val="20"/>
        </w:rPr>
        <w:t>4</w:t>
      </w:r>
      <w:r>
        <w:rPr>
          <w:rFonts w:ascii="Arial" w:hAnsi="Arial" w:cs="Arial"/>
          <w:i/>
          <w:iCs/>
          <w:sz w:val="20"/>
          <w:szCs w:val="20"/>
        </w:rPr>
        <w:t>.202</w:t>
      </w:r>
      <w:r w:rsidR="00085C9C">
        <w:rPr>
          <w:rFonts w:ascii="Arial" w:hAnsi="Arial" w:cs="Arial"/>
          <w:i/>
          <w:iCs/>
          <w:sz w:val="20"/>
          <w:szCs w:val="20"/>
        </w:rPr>
        <w:t>4</w:t>
      </w:r>
      <w:r>
        <w:rPr>
          <w:rFonts w:ascii="Arial" w:hAnsi="Arial" w:cs="Arial"/>
          <w:i/>
          <w:iCs/>
          <w:sz w:val="20"/>
          <w:szCs w:val="20"/>
        </w:rPr>
        <w:t>.a.</w:t>
      </w:r>
    </w:p>
    <w:p w14:paraId="14003943" w14:textId="3968A98B" w:rsidR="008212E6" w:rsidRDefault="00F507B7" w:rsidP="00E140AF">
      <w:pPr>
        <w:spacing w:line="240" w:lineRule="auto"/>
        <w:jc w:val="both"/>
        <w:rPr>
          <w:rFonts w:ascii="Arial" w:hAnsi="Arial" w:cs="Arial"/>
          <w:sz w:val="24"/>
          <w:szCs w:val="24"/>
        </w:rPr>
      </w:pPr>
      <w:r w:rsidRPr="00F507B7">
        <w:rPr>
          <w:rFonts w:ascii="Arial" w:hAnsi="Arial" w:cs="Arial"/>
          <w:sz w:val="24"/>
          <w:szCs w:val="24"/>
        </w:rPr>
        <w:t>Arvestades majanduslangust, võib tööturu olukorda pidada rahuldavaks. Töötajate arv on langenud alates 2023.a keskpaigast ning töökohtade arvu langus on olnud suurim tööstuses ja ehituses. 2024.aastaks prognoositakse hõivatute arvu langust 0,3% võrra ja tööpuuduse mõõdukat kasvu. Palgakasv aeglustub tänavu, kuid püsib vaatamata nõrgale majanduskasvu väljavaatele siiski suhteliselt kiire. Alates 2025.aastast kasvab keskmine palk nominaalse majanduskasvuga sarnases tempos.</w:t>
      </w:r>
    </w:p>
    <w:p w14:paraId="390E485E" w14:textId="77777777" w:rsidR="00FB21E0" w:rsidRDefault="00FB21E0" w:rsidP="008212E6">
      <w:pPr>
        <w:rPr>
          <w:rFonts w:ascii="Arial" w:hAnsi="Arial" w:cs="Arial"/>
        </w:rPr>
      </w:pPr>
    </w:p>
    <w:p w14:paraId="0141A8B1" w14:textId="77777777" w:rsidR="00FB21E0" w:rsidRDefault="00FB21E0" w:rsidP="008212E6">
      <w:pPr>
        <w:rPr>
          <w:rFonts w:ascii="Arial" w:hAnsi="Arial" w:cs="Arial"/>
        </w:rPr>
      </w:pPr>
    </w:p>
    <w:p w14:paraId="18A33EE6" w14:textId="77777777" w:rsidR="00FB21E0" w:rsidRDefault="00FB21E0" w:rsidP="008212E6">
      <w:pPr>
        <w:rPr>
          <w:rFonts w:ascii="Arial" w:hAnsi="Arial" w:cs="Arial"/>
        </w:rPr>
      </w:pPr>
    </w:p>
    <w:p w14:paraId="1DC8CBF2" w14:textId="77777777" w:rsidR="00FB21E0" w:rsidRDefault="00FB21E0" w:rsidP="008212E6">
      <w:pPr>
        <w:rPr>
          <w:rFonts w:ascii="Arial" w:hAnsi="Arial" w:cs="Arial"/>
        </w:rPr>
      </w:pPr>
    </w:p>
    <w:p w14:paraId="5A461BC3" w14:textId="77777777" w:rsidR="00FB21E0" w:rsidRDefault="00FB21E0" w:rsidP="008212E6">
      <w:pPr>
        <w:rPr>
          <w:rFonts w:ascii="Arial" w:hAnsi="Arial" w:cs="Arial"/>
        </w:rPr>
      </w:pPr>
    </w:p>
    <w:p w14:paraId="7F9FC72E" w14:textId="77777777" w:rsidR="00FB21E0" w:rsidRDefault="00FB21E0" w:rsidP="008212E6">
      <w:pPr>
        <w:rPr>
          <w:rFonts w:ascii="Arial" w:hAnsi="Arial" w:cs="Arial"/>
        </w:rPr>
      </w:pPr>
    </w:p>
    <w:p w14:paraId="0AE1BBB0" w14:textId="77777777" w:rsidR="00FB21E0" w:rsidRDefault="00FB21E0" w:rsidP="008212E6">
      <w:pPr>
        <w:rPr>
          <w:rFonts w:ascii="Arial" w:hAnsi="Arial" w:cs="Arial"/>
        </w:rPr>
      </w:pPr>
    </w:p>
    <w:p w14:paraId="7EB2F3EC" w14:textId="77777777" w:rsidR="00FB21E0" w:rsidRDefault="00FB21E0" w:rsidP="008212E6">
      <w:pPr>
        <w:rPr>
          <w:rFonts w:ascii="Arial" w:hAnsi="Arial" w:cs="Arial"/>
        </w:rPr>
      </w:pPr>
    </w:p>
    <w:p w14:paraId="1F940F07" w14:textId="3244ABE8" w:rsidR="006C17A6" w:rsidRDefault="008212E6" w:rsidP="008212E6">
      <w:pPr>
        <w:rPr>
          <w:rFonts w:ascii="Arial" w:hAnsi="Arial" w:cs="Arial"/>
        </w:rPr>
      </w:pPr>
      <w:r w:rsidRPr="00FE535A">
        <w:rPr>
          <w:rFonts w:ascii="Arial" w:hAnsi="Arial" w:cs="Arial"/>
        </w:rPr>
        <w:lastRenderedPageBreak/>
        <w:t xml:space="preserve">Tabel </w:t>
      </w:r>
      <w:r>
        <w:rPr>
          <w:rFonts w:ascii="Arial" w:hAnsi="Arial" w:cs="Arial"/>
        </w:rPr>
        <w:t>2</w:t>
      </w:r>
      <w:r w:rsidRPr="00FE535A">
        <w:rPr>
          <w:rFonts w:ascii="Arial" w:hAnsi="Arial" w:cs="Arial"/>
        </w:rPr>
        <w:t xml:space="preserve">. </w:t>
      </w:r>
      <w:r>
        <w:rPr>
          <w:rFonts w:ascii="Arial" w:hAnsi="Arial" w:cs="Arial"/>
        </w:rPr>
        <w:t>Tööturu prognoos</w:t>
      </w:r>
      <w:r w:rsidRPr="00FE535A">
        <w:rPr>
          <w:rFonts w:ascii="Arial" w:hAnsi="Arial" w:cs="Arial"/>
        </w:rPr>
        <w:t xml:space="preserve"> 202</w:t>
      </w:r>
      <w:r w:rsidR="001B4DCC">
        <w:rPr>
          <w:rFonts w:ascii="Arial" w:hAnsi="Arial" w:cs="Arial"/>
        </w:rPr>
        <w:t>4</w:t>
      </w:r>
      <w:r w:rsidRPr="00FE535A">
        <w:rPr>
          <w:rFonts w:ascii="Arial" w:hAnsi="Arial" w:cs="Arial"/>
        </w:rPr>
        <w:t>-202</w:t>
      </w:r>
      <w:r w:rsidR="001B4DCC">
        <w:rPr>
          <w:rFonts w:ascii="Arial" w:hAnsi="Arial" w:cs="Arial"/>
        </w:rPr>
        <w:t>8</w:t>
      </w:r>
      <w:r w:rsidR="006C17A6">
        <w:rPr>
          <w:rFonts w:ascii="Arial" w:hAnsi="Arial" w:cs="Arial"/>
        </w:rPr>
        <w:t xml:space="preserve"> (15-74-aastased)</w:t>
      </w:r>
    </w:p>
    <w:p w14:paraId="2E2011C7" w14:textId="130FC88F" w:rsidR="001D18CF" w:rsidRDefault="00367770" w:rsidP="008212E6">
      <w:pPr>
        <w:rPr>
          <w:rFonts w:ascii="Arial" w:hAnsi="Arial" w:cs="Arial"/>
        </w:rPr>
      </w:pPr>
      <w:r w:rsidRPr="00367770">
        <w:rPr>
          <w:noProof/>
        </w:rPr>
        <w:drawing>
          <wp:inline distT="0" distB="0" distL="0" distR="0" wp14:anchorId="7C9D8044" wp14:editId="1E5CCB06">
            <wp:extent cx="6000750" cy="1987682"/>
            <wp:effectExtent l="0" t="0" r="0" b="0"/>
            <wp:docPr id="97477603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1607" cy="1987966"/>
                    </a:xfrm>
                    <a:prstGeom prst="rect">
                      <a:avLst/>
                    </a:prstGeom>
                    <a:noFill/>
                    <a:ln>
                      <a:noFill/>
                    </a:ln>
                  </pic:spPr>
                </pic:pic>
              </a:graphicData>
            </a:graphic>
          </wp:inline>
        </w:drawing>
      </w:r>
    </w:p>
    <w:p w14:paraId="4A25DFDF" w14:textId="47073ECA" w:rsidR="001D18CF" w:rsidRDefault="00883ADC" w:rsidP="001D18CF">
      <w:pPr>
        <w:rPr>
          <w:rFonts w:ascii="Arial" w:hAnsi="Arial" w:cs="Arial"/>
          <w:i/>
          <w:iCs/>
          <w:sz w:val="20"/>
          <w:szCs w:val="20"/>
        </w:rPr>
      </w:pPr>
      <w:r w:rsidRPr="00883ADC">
        <w:rPr>
          <w:rFonts w:ascii="Arial" w:hAnsi="Arial" w:cs="Arial"/>
          <w:i/>
          <w:iCs/>
          <w:sz w:val="20"/>
          <w:szCs w:val="20"/>
        </w:rPr>
        <w:t>Allikas: Rahandusministeeriumi kevadine prognoos 04.04.2024.a.</w:t>
      </w:r>
      <w:r w:rsidR="001D18CF">
        <w:rPr>
          <w:rFonts w:ascii="Arial" w:hAnsi="Arial" w:cs="Arial"/>
          <w:i/>
          <w:iCs/>
          <w:sz w:val="20"/>
          <w:szCs w:val="20"/>
        </w:rPr>
        <w:t>.</w:t>
      </w:r>
    </w:p>
    <w:p w14:paraId="5D2AFA23" w14:textId="77777777" w:rsidR="007258CF" w:rsidRDefault="007258CF" w:rsidP="00703CA7">
      <w:pPr>
        <w:jc w:val="both"/>
        <w:rPr>
          <w:rFonts w:ascii="Arial" w:hAnsi="Arial" w:cs="Arial"/>
          <w:sz w:val="24"/>
          <w:szCs w:val="24"/>
        </w:rPr>
      </w:pPr>
    </w:p>
    <w:p w14:paraId="4E697FE0" w14:textId="29452862" w:rsidR="002D6E70" w:rsidRDefault="00703CA7" w:rsidP="00703CA7">
      <w:pPr>
        <w:jc w:val="both"/>
        <w:rPr>
          <w:rFonts w:ascii="Arial" w:hAnsi="Arial" w:cs="Arial"/>
          <w:sz w:val="24"/>
          <w:szCs w:val="24"/>
        </w:rPr>
      </w:pPr>
      <w:r w:rsidRPr="00703CA7">
        <w:rPr>
          <w:rFonts w:ascii="Arial" w:hAnsi="Arial" w:cs="Arial"/>
          <w:sz w:val="24"/>
          <w:szCs w:val="24"/>
        </w:rPr>
        <w:t>Alates 2024.a teisest poolest hakkavad oodatavalt vähenema ka laenuintressimaksed, mis jätab majapidamistele rohkem raha muudeks kulutusteks. 2021.a ostujõu tase loodetakse saavutada 2025.a lõpuks. Energiakriisi taandumise mõjul pöördusid mitmete energiakandjate hinnad möödunud aastal langusesse.</w:t>
      </w:r>
      <w:r w:rsidR="00D2398A">
        <w:rPr>
          <w:rFonts w:ascii="Arial" w:hAnsi="Arial" w:cs="Arial"/>
          <w:sz w:val="24"/>
          <w:szCs w:val="24"/>
        </w:rPr>
        <w:t xml:space="preserve"> </w:t>
      </w:r>
      <w:r w:rsidRPr="00703CA7">
        <w:rPr>
          <w:rFonts w:ascii="Arial" w:hAnsi="Arial" w:cs="Arial"/>
          <w:sz w:val="24"/>
          <w:szCs w:val="24"/>
        </w:rPr>
        <w:t>2024.a alguses jõustunud maksumeetmed tõid oodatult kaasa inflatsiooni kiirenemise. Käibemaksumäära tõus lisati valdavalt kogu ulatuses kaupade ja teenuste hindadesse. Aasta kokkuvõttes pidurdub tarbijahindade tõus 2024.aastal 3,4%</w:t>
      </w:r>
      <w:r>
        <w:rPr>
          <w:rFonts w:ascii="Arial" w:hAnsi="Arial" w:cs="Arial"/>
          <w:sz w:val="24"/>
          <w:szCs w:val="24"/>
        </w:rPr>
        <w:t>.</w:t>
      </w:r>
    </w:p>
    <w:p w14:paraId="61ECAA7C" w14:textId="77777777" w:rsidR="00A6716B" w:rsidRDefault="00A6716B" w:rsidP="008C320F">
      <w:pPr>
        <w:rPr>
          <w:rFonts w:ascii="Arial" w:hAnsi="Arial" w:cs="Arial"/>
        </w:rPr>
      </w:pPr>
      <w:bookmarkStart w:id="7" w:name="_Hlk142305228"/>
    </w:p>
    <w:p w14:paraId="45D15D93" w14:textId="30204B11" w:rsidR="008C320F" w:rsidRDefault="008C320F" w:rsidP="008C320F">
      <w:pPr>
        <w:rPr>
          <w:rFonts w:ascii="Arial" w:hAnsi="Arial" w:cs="Arial"/>
        </w:rPr>
      </w:pPr>
      <w:r w:rsidRPr="00FE535A">
        <w:rPr>
          <w:rFonts w:ascii="Arial" w:hAnsi="Arial" w:cs="Arial"/>
        </w:rPr>
        <w:t xml:space="preserve">Tabel </w:t>
      </w:r>
      <w:r>
        <w:rPr>
          <w:rFonts w:ascii="Arial" w:hAnsi="Arial" w:cs="Arial"/>
        </w:rPr>
        <w:t>3</w:t>
      </w:r>
      <w:r w:rsidRPr="00FE535A">
        <w:rPr>
          <w:rFonts w:ascii="Arial" w:hAnsi="Arial" w:cs="Arial"/>
        </w:rPr>
        <w:t xml:space="preserve">. </w:t>
      </w:r>
      <w:r w:rsidR="003C0C41">
        <w:rPr>
          <w:rFonts w:ascii="Arial" w:hAnsi="Arial" w:cs="Arial"/>
        </w:rPr>
        <w:t>Hindade</w:t>
      </w:r>
      <w:r>
        <w:rPr>
          <w:rFonts w:ascii="Arial" w:hAnsi="Arial" w:cs="Arial"/>
        </w:rPr>
        <w:t xml:space="preserve"> prognoos</w:t>
      </w:r>
      <w:r w:rsidRPr="00FE535A">
        <w:rPr>
          <w:rFonts w:ascii="Arial" w:hAnsi="Arial" w:cs="Arial"/>
        </w:rPr>
        <w:t xml:space="preserve"> 202</w:t>
      </w:r>
      <w:r w:rsidR="000825EB">
        <w:rPr>
          <w:rFonts w:ascii="Arial" w:hAnsi="Arial" w:cs="Arial"/>
        </w:rPr>
        <w:t>4</w:t>
      </w:r>
      <w:r w:rsidRPr="00FE535A">
        <w:rPr>
          <w:rFonts w:ascii="Arial" w:hAnsi="Arial" w:cs="Arial"/>
        </w:rPr>
        <w:t>-202</w:t>
      </w:r>
      <w:r w:rsidR="000114CD">
        <w:rPr>
          <w:rFonts w:ascii="Arial" w:hAnsi="Arial" w:cs="Arial"/>
        </w:rPr>
        <w:t>8</w:t>
      </w:r>
      <w:r>
        <w:rPr>
          <w:rFonts w:ascii="Arial" w:hAnsi="Arial" w:cs="Arial"/>
        </w:rPr>
        <w:t xml:space="preserve"> </w:t>
      </w:r>
    </w:p>
    <w:bookmarkEnd w:id="7"/>
    <w:p w14:paraId="474172C7" w14:textId="00D5AE6D" w:rsidR="00344C18" w:rsidRDefault="006A6D8F" w:rsidP="008C320F">
      <w:pPr>
        <w:rPr>
          <w:rFonts w:ascii="Arial" w:hAnsi="Arial" w:cs="Arial"/>
        </w:rPr>
      </w:pPr>
      <w:r w:rsidRPr="006A6D8F">
        <w:rPr>
          <w:noProof/>
        </w:rPr>
        <w:drawing>
          <wp:inline distT="0" distB="0" distL="0" distR="0" wp14:anchorId="4F1F4F5B" wp14:editId="0E4A9449">
            <wp:extent cx="5981700" cy="1795433"/>
            <wp:effectExtent l="0" t="0" r="0" b="0"/>
            <wp:docPr id="776921925"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82" cy="1799270"/>
                    </a:xfrm>
                    <a:prstGeom prst="rect">
                      <a:avLst/>
                    </a:prstGeom>
                    <a:noFill/>
                    <a:ln>
                      <a:noFill/>
                    </a:ln>
                  </pic:spPr>
                </pic:pic>
              </a:graphicData>
            </a:graphic>
          </wp:inline>
        </w:drawing>
      </w:r>
    </w:p>
    <w:p w14:paraId="5BFB3AE3" w14:textId="37A60380" w:rsidR="001650D6" w:rsidRPr="00883ADC" w:rsidRDefault="00883ADC" w:rsidP="00543F4A">
      <w:pPr>
        <w:rPr>
          <w:rFonts w:ascii="Arial" w:hAnsi="Arial" w:cs="Arial"/>
          <w:i/>
          <w:iCs/>
          <w:sz w:val="20"/>
          <w:szCs w:val="20"/>
        </w:rPr>
      </w:pPr>
      <w:bookmarkStart w:id="8" w:name="_Hlk142306265"/>
      <w:r w:rsidRPr="00883ADC">
        <w:rPr>
          <w:rFonts w:ascii="Arial" w:hAnsi="Arial" w:cs="Arial"/>
          <w:i/>
          <w:iCs/>
          <w:sz w:val="20"/>
          <w:szCs w:val="20"/>
        </w:rPr>
        <w:t>Allikas: Rahandusministeeriumi kevadine prognoos 04.04.2024.a.</w:t>
      </w:r>
    </w:p>
    <w:p w14:paraId="094A079B" w14:textId="77777777" w:rsidR="007258CF" w:rsidRDefault="007258CF" w:rsidP="00543F4A">
      <w:pPr>
        <w:rPr>
          <w:rFonts w:ascii="Arial" w:hAnsi="Arial" w:cs="Arial"/>
        </w:rPr>
      </w:pPr>
    </w:p>
    <w:p w14:paraId="75BC5F31" w14:textId="77777777" w:rsidR="007258CF" w:rsidRDefault="007258CF" w:rsidP="00543F4A">
      <w:pPr>
        <w:rPr>
          <w:rFonts w:ascii="Arial" w:hAnsi="Arial" w:cs="Arial"/>
        </w:rPr>
      </w:pPr>
    </w:p>
    <w:p w14:paraId="58B31C51" w14:textId="77777777" w:rsidR="007258CF" w:rsidRDefault="007258CF" w:rsidP="00543F4A">
      <w:pPr>
        <w:rPr>
          <w:rFonts w:ascii="Arial" w:hAnsi="Arial" w:cs="Arial"/>
        </w:rPr>
      </w:pPr>
    </w:p>
    <w:p w14:paraId="718C5341" w14:textId="77777777" w:rsidR="007258CF" w:rsidRDefault="007258CF" w:rsidP="00543F4A">
      <w:pPr>
        <w:rPr>
          <w:rFonts w:ascii="Arial" w:hAnsi="Arial" w:cs="Arial"/>
        </w:rPr>
      </w:pPr>
    </w:p>
    <w:p w14:paraId="7E336BA4" w14:textId="77777777" w:rsidR="007258CF" w:rsidRDefault="007258CF" w:rsidP="00543F4A">
      <w:pPr>
        <w:rPr>
          <w:rFonts w:ascii="Arial" w:hAnsi="Arial" w:cs="Arial"/>
        </w:rPr>
      </w:pPr>
    </w:p>
    <w:p w14:paraId="6AED6C67" w14:textId="77777777" w:rsidR="007258CF" w:rsidRDefault="007258CF" w:rsidP="00543F4A">
      <w:pPr>
        <w:rPr>
          <w:rFonts w:ascii="Arial" w:hAnsi="Arial" w:cs="Arial"/>
        </w:rPr>
      </w:pPr>
    </w:p>
    <w:p w14:paraId="79A397EC" w14:textId="77777777" w:rsidR="007258CF" w:rsidRDefault="007258CF" w:rsidP="00543F4A">
      <w:pPr>
        <w:rPr>
          <w:rFonts w:ascii="Arial" w:hAnsi="Arial" w:cs="Arial"/>
        </w:rPr>
      </w:pPr>
    </w:p>
    <w:p w14:paraId="49296772" w14:textId="140838DD" w:rsidR="00543F4A" w:rsidRDefault="00543F4A" w:rsidP="00543F4A">
      <w:pPr>
        <w:rPr>
          <w:rFonts w:ascii="Arial" w:hAnsi="Arial" w:cs="Arial"/>
        </w:rPr>
      </w:pPr>
      <w:r w:rsidRPr="00FE535A">
        <w:rPr>
          <w:rFonts w:ascii="Arial" w:hAnsi="Arial" w:cs="Arial"/>
        </w:rPr>
        <w:lastRenderedPageBreak/>
        <w:t xml:space="preserve">Tabel </w:t>
      </w:r>
      <w:r>
        <w:rPr>
          <w:rFonts w:ascii="Arial" w:hAnsi="Arial" w:cs="Arial"/>
        </w:rPr>
        <w:t>4</w:t>
      </w:r>
      <w:r w:rsidRPr="00FE535A">
        <w:rPr>
          <w:rFonts w:ascii="Arial" w:hAnsi="Arial" w:cs="Arial"/>
        </w:rPr>
        <w:t xml:space="preserve">. </w:t>
      </w:r>
      <w:r w:rsidR="009E52B6">
        <w:rPr>
          <w:rFonts w:ascii="Arial" w:hAnsi="Arial" w:cs="Arial"/>
        </w:rPr>
        <w:t>P</w:t>
      </w:r>
      <w:r w:rsidR="000517CD">
        <w:rPr>
          <w:rFonts w:ascii="Arial" w:hAnsi="Arial" w:cs="Arial"/>
        </w:rPr>
        <w:t>rognoosi</w:t>
      </w:r>
      <w:r w:rsidR="00C550E2">
        <w:rPr>
          <w:rFonts w:ascii="Arial" w:hAnsi="Arial" w:cs="Arial"/>
        </w:rPr>
        <w:t xml:space="preserve"> olulisemad </w:t>
      </w:r>
      <w:proofErr w:type="spellStart"/>
      <w:r w:rsidR="00C550E2">
        <w:rPr>
          <w:rFonts w:ascii="Arial" w:hAnsi="Arial" w:cs="Arial"/>
        </w:rPr>
        <w:t>väliseeldused</w:t>
      </w:r>
      <w:proofErr w:type="spellEnd"/>
      <w:r w:rsidR="00C550E2">
        <w:rPr>
          <w:rFonts w:ascii="Arial" w:hAnsi="Arial" w:cs="Arial"/>
        </w:rPr>
        <w:t xml:space="preserve"> (%)</w:t>
      </w:r>
      <w:bookmarkEnd w:id="8"/>
      <w:r>
        <w:rPr>
          <w:rFonts w:ascii="Arial" w:hAnsi="Arial" w:cs="Arial"/>
        </w:rPr>
        <w:t xml:space="preserve"> </w:t>
      </w:r>
    </w:p>
    <w:tbl>
      <w:tblPr>
        <w:tblW w:w="9640" w:type="dxa"/>
        <w:tblCellMar>
          <w:left w:w="70" w:type="dxa"/>
          <w:right w:w="70" w:type="dxa"/>
        </w:tblCellMar>
        <w:tblLook w:val="04A0" w:firstRow="1" w:lastRow="0" w:firstColumn="1" w:lastColumn="0" w:noHBand="0" w:noVBand="1"/>
      </w:tblPr>
      <w:tblGrid>
        <w:gridCol w:w="3819"/>
        <w:gridCol w:w="1350"/>
        <w:gridCol w:w="581"/>
        <w:gridCol w:w="581"/>
        <w:gridCol w:w="581"/>
        <w:gridCol w:w="581"/>
        <w:gridCol w:w="581"/>
        <w:gridCol w:w="985"/>
        <w:gridCol w:w="581"/>
      </w:tblGrid>
      <w:tr w:rsidR="002C660F" w:rsidRPr="002C660F" w14:paraId="2535B684" w14:textId="77777777" w:rsidTr="002C660F">
        <w:trPr>
          <w:trHeight w:val="300"/>
        </w:trPr>
        <w:tc>
          <w:tcPr>
            <w:tcW w:w="3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A0F52" w14:textId="77777777" w:rsidR="002C660F" w:rsidRPr="002C660F" w:rsidRDefault="002C660F" w:rsidP="002C660F">
            <w:pPr>
              <w:spacing w:after="0" w:line="240" w:lineRule="auto"/>
              <w:jc w:val="both"/>
              <w:rPr>
                <w:rFonts w:ascii="Segoe UI Light" w:eastAsia="Times New Roman" w:hAnsi="Segoe UI Light" w:cs="Segoe UI Light"/>
                <w:b/>
                <w:bCs/>
                <w:color w:val="000000"/>
                <w:sz w:val="18"/>
                <w:szCs w:val="18"/>
                <w:lang w:eastAsia="et-EE"/>
              </w:rPr>
            </w:pPr>
            <w:bookmarkStart w:id="9" w:name="RANGE!A55"/>
            <w:bookmarkStart w:id="10" w:name="_Hlk62122948"/>
            <w:r w:rsidRPr="002C660F">
              <w:rPr>
                <w:rFonts w:ascii="Segoe UI Light" w:eastAsia="Times New Roman" w:hAnsi="Segoe UI Light" w:cs="Segoe UI Light"/>
                <w:b/>
                <w:bCs/>
                <w:color w:val="000000"/>
                <w:sz w:val="18"/>
                <w:szCs w:val="18"/>
                <w:lang w:eastAsia="et-EE"/>
              </w:rPr>
              <w:t> </w:t>
            </w:r>
            <w:bookmarkEnd w:id="9"/>
          </w:p>
        </w:tc>
        <w:tc>
          <w:tcPr>
            <w:tcW w:w="5821" w:type="dxa"/>
            <w:gridSpan w:val="8"/>
            <w:tcBorders>
              <w:top w:val="single" w:sz="4" w:space="0" w:color="auto"/>
              <w:left w:val="nil"/>
              <w:bottom w:val="single" w:sz="4" w:space="0" w:color="auto"/>
              <w:right w:val="single" w:sz="4" w:space="0" w:color="auto"/>
            </w:tcBorders>
            <w:shd w:val="clear" w:color="auto" w:fill="auto"/>
            <w:vAlign w:val="center"/>
            <w:hideMark/>
          </w:tcPr>
          <w:p w14:paraId="215A6DDF" w14:textId="77777777" w:rsidR="002C660F" w:rsidRPr="002C660F" w:rsidRDefault="002C660F" w:rsidP="002C660F">
            <w:pPr>
              <w:spacing w:after="0" w:line="240" w:lineRule="auto"/>
              <w:jc w:val="center"/>
              <w:rPr>
                <w:rFonts w:ascii="Segoe UI Light" w:eastAsia="Times New Roman" w:hAnsi="Segoe UI Light" w:cs="Segoe UI Light"/>
                <w:b/>
                <w:bCs/>
                <w:color w:val="000000"/>
                <w:sz w:val="18"/>
                <w:szCs w:val="18"/>
                <w:lang w:eastAsia="et-EE"/>
              </w:rPr>
            </w:pPr>
            <w:r w:rsidRPr="002C660F">
              <w:rPr>
                <w:rFonts w:ascii="Segoe UI Light" w:eastAsia="Times New Roman" w:hAnsi="Segoe UI Light" w:cs="Segoe UI Light"/>
                <w:b/>
                <w:bCs/>
                <w:color w:val="000000"/>
                <w:sz w:val="18"/>
                <w:szCs w:val="18"/>
                <w:lang w:eastAsia="et-EE"/>
              </w:rPr>
              <w:t>Eeldused 2024. aasta kevadises prognoosis</w:t>
            </w:r>
          </w:p>
        </w:tc>
      </w:tr>
      <w:tr w:rsidR="002C660F" w:rsidRPr="002C660F" w14:paraId="2FEEB217" w14:textId="77777777" w:rsidTr="002C660F">
        <w:trPr>
          <w:trHeight w:val="300"/>
        </w:trPr>
        <w:tc>
          <w:tcPr>
            <w:tcW w:w="3819" w:type="dxa"/>
            <w:tcBorders>
              <w:top w:val="nil"/>
              <w:left w:val="single" w:sz="4" w:space="0" w:color="auto"/>
              <w:bottom w:val="single" w:sz="4" w:space="0" w:color="auto"/>
              <w:right w:val="single" w:sz="4" w:space="0" w:color="auto"/>
            </w:tcBorders>
            <w:shd w:val="clear" w:color="000000" w:fill="D9D9D6"/>
            <w:vAlign w:val="center"/>
            <w:hideMark/>
          </w:tcPr>
          <w:p w14:paraId="18A7A9C4" w14:textId="77777777" w:rsidR="002C660F" w:rsidRPr="002C660F" w:rsidRDefault="002C660F" w:rsidP="002C660F">
            <w:pPr>
              <w:spacing w:after="0" w:line="240" w:lineRule="auto"/>
              <w:jc w:val="both"/>
              <w:rPr>
                <w:rFonts w:ascii="Segoe UI Light" w:eastAsia="Times New Roman" w:hAnsi="Segoe UI Light" w:cs="Segoe UI Light"/>
                <w:b/>
                <w:bCs/>
                <w:color w:val="000000"/>
                <w:sz w:val="18"/>
                <w:szCs w:val="18"/>
                <w:lang w:eastAsia="et-EE"/>
              </w:rPr>
            </w:pPr>
            <w:r w:rsidRPr="002C660F">
              <w:rPr>
                <w:rFonts w:ascii="Segoe UI Light" w:eastAsia="Times New Roman" w:hAnsi="Segoe UI Light" w:cs="Segoe UI Light"/>
                <w:b/>
                <w:bCs/>
                <w:sz w:val="18"/>
                <w:szCs w:val="18"/>
                <w:lang w:eastAsia="et-EE"/>
              </w:rPr>
              <w:t> </w:t>
            </w:r>
          </w:p>
        </w:tc>
        <w:tc>
          <w:tcPr>
            <w:tcW w:w="1350" w:type="dxa"/>
            <w:tcBorders>
              <w:top w:val="nil"/>
              <w:left w:val="nil"/>
              <w:bottom w:val="single" w:sz="4" w:space="0" w:color="auto"/>
              <w:right w:val="single" w:sz="4" w:space="0" w:color="auto"/>
            </w:tcBorders>
            <w:shd w:val="clear" w:color="000000" w:fill="D9D9D6"/>
            <w:vAlign w:val="center"/>
            <w:hideMark/>
          </w:tcPr>
          <w:p w14:paraId="73288670" w14:textId="77777777" w:rsidR="002C660F" w:rsidRPr="002C660F" w:rsidRDefault="002C660F" w:rsidP="002C660F">
            <w:pPr>
              <w:spacing w:after="0" w:line="240" w:lineRule="auto"/>
              <w:jc w:val="center"/>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sz w:val="18"/>
                <w:szCs w:val="18"/>
                <w:lang w:eastAsia="et-EE"/>
              </w:rPr>
              <w:t xml:space="preserve">2011–21 </w:t>
            </w:r>
          </w:p>
        </w:tc>
        <w:tc>
          <w:tcPr>
            <w:tcW w:w="581" w:type="dxa"/>
            <w:tcBorders>
              <w:top w:val="nil"/>
              <w:left w:val="nil"/>
              <w:bottom w:val="single" w:sz="4" w:space="0" w:color="auto"/>
              <w:right w:val="single" w:sz="4" w:space="0" w:color="auto"/>
            </w:tcBorders>
            <w:shd w:val="clear" w:color="000000" w:fill="D9D9D6"/>
            <w:noWrap/>
            <w:vAlign w:val="center"/>
            <w:hideMark/>
          </w:tcPr>
          <w:p w14:paraId="74BA6667" w14:textId="77777777" w:rsidR="002C660F" w:rsidRPr="002C660F" w:rsidRDefault="002C660F" w:rsidP="002C660F">
            <w:pPr>
              <w:spacing w:after="0" w:line="240" w:lineRule="auto"/>
              <w:jc w:val="center"/>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sz w:val="18"/>
                <w:szCs w:val="18"/>
                <w:lang w:eastAsia="et-EE"/>
              </w:rPr>
              <w:t>2022</w:t>
            </w:r>
          </w:p>
        </w:tc>
        <w:tc>
          <w:tcPr>
            <w:tcW w:w="581" w:type="dxa"/>
            <w:tcBorders>
              <w:top w:val="nil"/>
              <w:left w:val="nil"/>
              <w:bottom w:val="single" w:sz="4" w:space="0" w:color="auto"/>
              <w:right w:val="single" w:sz="4" w:space="0" w:color="auto"/>
            </w:tcBorders>
            <w:shd w:val="clear" w:color="000000" w:fill="D9D9D6"/>
            <w:noWrap/>
            <w:vAlign w:val="center"/>
            <w:hideMark/>
          </w:tcPr>
          <w:p w14:paraId="2DF77707" w14:textId="77777777" w:rsidR="002C660F" w:rsidRPr="002C660F" w:rsidRDefault="002C660F" w:rsidP="002C660F">
            <w:pPr>
              <w:spacing w:after="0" w:line="240" w:lineRule="auto"/>
              <w:jc w:val="center"/>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sz w:val="18"/>
                <w:szCs w:val="18"/>
                <w:lang w:eastAsia="et-EE"/>
              </w:rPr>
              <w:t>2023</w:t>
            </w:r>
          </w:p>
        </w:tc>
        <w:tc>
          <w:tcPr>
            <w:tcW w:w="581" w:type="dxa"/>
            <w:tcBorders>
              <w:top w:val="nil"/>
              <w:left w:val="nil"/>
              <w:bottom w:val="single" w:sz="4" w:space="0" w:color="auto"/>
              <w:right w:val="single" w:sz="4" w:space="0" w:color="auto"/>
            </w:tcBorders>
            <w:shd w:val="clear" w:color="000000" w:fill="D9D9D6"/>
            <w:noWrap/>
            <w:vAlign w:val="center"/>
            <w:hideMark/>
          </w:tcPr>
          <w:p w14:paraId="099E19E5" w14:textId="77777777" w:rsidR="002C660F" w:rsidRPr="002C660F" w:rsidRDefault="002C660F" w:rsidP="002C660F">
            <w:pPr>
              <w:spacing w:after="0" w:line="240" w:lineRule="auto"/>
              <w:jc w:val="center"/>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sz w:val="18"/>
                <w:szCs w:val="18"/>
                <w:lang w:eastAsia="et-EE"/>
              </w:rPr>
              <w:t>2024</w:t>
            </w:r>
          </w:p>
        </w:tc>
        <w:tc>
          <w:tcPr>
            <w:tcW w:w="581" w:type="dxa"/>
            <w:tcBorders>
              <w:top w:val="nil"/>
              <w:left w:val="nil"/>
              <w:bottom w:val="single" w:sz="4" w:space="0" w:color="auto"/>
              <w:right w:val="single" w:sz="4" w:space="0" w:color="auto"/>
            </w:tcBorders>
            <w:shd w:val="clear" w:color="000000" w:fill="D9D9D6"/>
            <w:noWrap/>
            <w:vAlign w:val="center"/>
            <w:hideMark/>
          </w:tcPr>
          <w:p w14:paraId="11540B36" w14:textId="77777777" w:rsidR="002C660F" w:rsidRPr="002C660F" w:rsidRDefault="002C660F" w:rsidP="002C660F">
            <w:pPr>
              <w:spacing w:after="0" w:line="240" w:lineRule="auto"/>
              <w:jc w:val="center"/>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sz w:val="18"/>
                <w:szCs w:val="18"/>
                <w:lang w:eastAsia="et-EE"/>
              </w:rPr>
              <w:t>2025</w:t>
            </w:r>
          </w:p>
        </w:tc>
        <w:tc>
          <w:tcPr>
            <w:tcW w:w="581" w:type="dxa"/>
            <w:tcBorders>
              <w:top w:val="nil"/>
              <w:left w:val="nil"/>
              <w:bottom w:val="single" w:sz="4" w:space="0" w:color="auto"/>
              <w:right w:val="single" w:sz="4" w:space="0" w:color="auto"/>
            </w:tcBorders>
            <w:shd w:val="clear" w:color="000000" w:fill="D9D9D6"/>
            <w:noWrap/>
            <w:vAlign w:val="center"/>
            <w:hideMark/>
          </w:tcPr>
          <w:p w14:paraId="603EBFC0" w14:textId="77777777" w:rsidR="002C660F" w:rsidRPr="002C660F" w:rsidRDefault="002C660F" w:rsidP="002C660F">
            <w:pPr>
              <w:spacing w:after="0" w:line="240" w:lineRule="auto"/>
              <w:jc w:val="center"/>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sz w:val="18"/>
                <w:szCs w:val="18"/>
                <w:lang w:eastAsia="et-EE"/>
              </w:rPr>
              <w:t>2026</w:t>
            </w:r>
          </w:p>
        </w:tc>
        <w:tc>
          <w:tcPr>
            <w:tcW w:w="985" w:type="dxa"/>
            <w:tcBorders>
              <w:top w:val="nil"/>
              <w:left w:val="nil"/>
              <w:bottom w:val="single" w:sz="4" w:space="0" w:color="auto"/>
              <w:right w:val="single" w:sz="4" w:space="0" w:color="auto"/>
            </w:tcBorders>
            <w:shd w:val="clear" w:color="000000" w:fill="D9D9D6"/>
            <w:vAlign w:val="center"/>
            <w:hideMark/>
          </w:tcPr>
          <w:p w14:paraId="624F1E3C" w14:textId="77777777" w:rsidR="002C660F" w:rsidRPr="002C660F" w:rsidRDefault="002C660F" w:rsidP="002C660F">
            <w:pPr>
              <w:spacing w:after="0" w:line="240" w:lineRule="auto"/>
              <w:jc w:val="center"/>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sz w:val="18"/>
                <w:szCs w:val="18"/>
                <w:lang w:eastAsia="et-EE"/>
              </w:rPr>
              <w:t>2027</w:t>
            </w:r>
          </w:p>
        </w:tc>
        <w:tc>
          <w:tcPr>
            <w:tcW w:w="581" w:type="dxa"/>
            <w:tcBorders>
              <w:top w:val="nil"/>
              <w:left w:val="nil"/>
              <w:bottom w:val="single" w:sz="4" w:space="0" w:color="auto"/>
              <w:right w:val="single" w:sz="4" w:space="0" w:color="auto"/>
            </w:tcBorders>
            <w:shd w:val="clear" w:color="000000" w:fill="D9D9D6"/>
            <w:noWrap/>
            <w:vAlign w:val="center"/>
            <w:hideMark/>
          </w:tcPr>
          <w:p w14:paraId="1047DCCF" w14:textId="77777777" w:rsidR="002C660F" w:rsidRPr="002C660F" w:rsidRDefault="002C660F" w:rsidP="002C660F">
            <w:pPr>
              <w:spacing w:after="0" w:line="240" w:lineRule="auto"/>
              <w:jc w:val="center"/>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sz w:val="18"/>
                <w:szCs w:val="18"/>
                <w:lang w:eastAsia="et-EE"/>
              </w:rPr>
              <w:t>2028</w:t>
            </w:r>
          </w:p>
        </w:tc>
      </w:tr>
      <w:tr w:rsidR="002C660F" w:rsidRPr="002C660F" w14:paraId="2EDE95C8" w14:textId="77777777" w:rsidTr="002C660F">
        <w:trPr>
          <w:trHeight w:val="480"/>
        </w:trPr>
        <w:tc>
          <w:tcPr>
            <w:tcW w:w="3819" w:type="dxa"/>
            <w:tcBorders>
              <w:top w:val="nil"/>
              <w:left w:val="single" w:sz="4" w:space="0" w:color="auto"/>
              <w:bottom w:val="single" w:sz="4" w:space="0" w:color="auto"/>
              <w:right w:val="single" w:sz="4" w:space="0" w:color="auto"/>
            </w:tcBorders>
            <w:shd w:val="clear" w:color="auto" w:fill="auto"/>
            <w:noWrap/>
            <w:vAlign w:val="center"/>
            <w:hideMark/>
          </w:tcPr>
          <w:p w14:paraId="7332DB5E" w14:textId="77777777" w:rsidR="002C660F" w:rsidRPr="002C660F" w:rsidRDefault="002C660F" w:rsidP="002C660F">
            <w:pPr>
              <w:spacing w:after="0" w:line="240" w:lineRule="auto"/>
              <w:jc w:val="both"/>
              <w:rPr>
                <w:rFonts w:ascii="Segoe UI Light" w:eastAsia="Times New Roman" w:hAnsi="Segoe UI Light" w:cs="Segoe UI Light"/>
                <w:b/>
                <w:bCs/>
                <w:color w:val="000000"/>
                <w:sz w:val="18"/>
                <w:szCs w:val="18"/>
                <w:lang w:eastAsia="et-EE"/>
              </w:rPr>
            </w:pPr>
            <w:r w:rsidRPr="002C660F">
              <w:rPr>
                <w:rFonts w:ascii="Segoe UI Light" w:eastAsia="Times New Roman" w:hAnsi="Segoe UI Light" w:cs="Segoe UI Light"/>
                <w:b/>
                <w:bCs/>
                <w:color w:val="000000"/>
                <w:sz w:val="18"/>
                <w:szCs w:val="18"/>
                <w:lang w:eastAsia="et-EE"/>
              </w:rPr>
              <w:t>1. Euroala 3-kuu intressi</w:t>
            </w:r>
            <w:r w:rsidRPr="002C660F">
              <w:rPr>
                <w:rFonts w:ascii="Segoe UI Light" w:eastAsia="Times New Roman" w:hAnsi="Segoe UI Light" w:cs="Segoe UI Light"/>
                <w:b/>
                <w:bCs/>
                <w:color w:val="000000"/>
                <w:sz w:val="18"/>
                <w:szCs w:val="18"/>
                <w:lang w:eastAsia="et-EE"/>
              </w:rPr>
              <w:softHyphen/>
              <w:t>määr (aasta keskmine)</w:t>
            </w:r>
          </w:p>
        </w:tc>
        <w:tc>
          <w:tcPr>
            <w:tcW w:w="1350" w:type="dxa"/>
            <w:tcBorders>
              <w:top w:val="nil"/>
              <w:left w:val="nil"/>
              <w:bottom w:val="single" w:sz="4" w:space="0" w:color="auto"/>
              <w:right w:val="single" w:sz="4" w:space="0" w:color="auto"/>
            </w:tcBorders>
            <w:shd w:val="clear" w:color="auto" w:fill="auto"/>
            <w:vAlign w:val="center"/>
            <w:hideMark/>
          </w:tcPr>
          <w:p w14:paraId="01169C24"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0</w:t>
            </w:r>
          </w:p>
        </w:tc>
        <w:tc>
          <w:tcPr>
            <w:tcW w:w="581" w:type="dxa"/>
            <w:tcBorders>
              <w:top w:val="nil"/>
              <w:left w:val="nil"/>
              <w:bottom w:val="single" w:sz="4" w:space="0" w:color="auto"/>
              <w:right w:val="single" w:sz="4" w:space="0" w:color="auto"/>
            </w:tcBorders>
            <w:shd w:val="clear" w:color="auto" w:fill="auto"/>
            <w:noWrap/>
            <w:vAlign w:val="center"/>
            <w:hideMark/>
          </w:tcPr>
          <w:p w14:paraId="5B70AF46"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0,3</w:t>
            </w:r>
          </w:p>
        </w:tc>
        <w:tc>
          <w:tcPr>
            <w:tcW w:w="581" w:type="dxa"/>
            <w:tcBorders>
              <w:top w:val="nil"/>
              <w:left w:val="nil"/>
              <w:bottom w:val="single" w:sz="4" w:space="0" w:color="auto"/>
              <w:right w:val="single" w:sz="4" w:space="0" w:color="auto"/>
            </w:tcBorders>
            <w:shd w:val="clear" w:color="auto" w:fill="auto"/>
            <w:noWrap/>
            <w:vAlign w:val="center"/>
            <w:hideMark/>
          </w:tcPr>
          <w:p w14:paraId="0D00F1FE"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3,4</w:t>
            </w:r>
          </w:p>
        </w:tc>
        <w:tc>
          <w:tcPr>
            <w:tcW w:w="581" w:type="dxa"/>
            <w:tcBorders>
              <w:top w:val="nil"/>
              <w:left w:val="nil"/>
              <w:bottom w:val="single" w:sz="4" w:space="0" w:color="auto"/>
              <w:right w:val="single" w:sz="4" w:space="0" w:color="auto"/>
            </w:tcBorders>
            <w:shd w:val="clear" w:color="auto" w:fill="auto"/>
            <w:noWrap/>
            <w:vAlign w:val="center"/>
            <w:hideMark/>
          </w:tcPr>
          <w:p w14:paraId="785048E1"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3,5</w:t>
            </w:r>
          </w:p>
        </w:tc>
        <w:tc>
          <w:tcPr>
            <w:tcW w:w="581" w:type="dxa"/>
            <w:tcBorders>
              <w:top w:val="nil"/>
              <w:left w:val="nil"/>
              <w:bottom w:val="single" w:sz="4" w:space="0" w:color="auto"/>
              <w:right w:val="single" w:sz="4" w:space="0" w:color="auto"/>
            </w:tcBorders>
            <w:shd w:val="clear" w:color="auto" w:fill="auto"/>
            <w:noWrap/>
            <w:vAlign w:val="center"/>
            <w:hideMark/>
          </w:tcPr>
          <w:p w14:paraId="3B08D500"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2,6</w:t>
            </w:r>
          </w:p>
        </w:tc>
        <w:tc>
          <w:tcPr>
            <w:tcW w:w="581" w:type="dxa"/>
            <w:tcBorders>
              <w:top w:val="nil"/>
              <w:left w:val="nil"/>
              <w:bottom w:val="single" w:sz="4" w:space="0" w:color="auto"/>
              <w:right w:val="single" w:sz="4" w:space="0" w:color="auto"/>
            </w:tcBorders>
            <w:shd w:val="clear" w:color="auto" w:fill="auto"/>
            <w:noWrap/>
            <w:vAlign w:val="center"/>
            <w:hideMark/>
          </w:tcPr>
          <w:p w14:paraId="5CE0452D"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2,4</w:t>
            </w:r>
          </w:p>
        </w:tc>
        <w:tc>
          <w:tcPr>
            <w:tcW w:w="985" w:type="dxa"/>
            <w:tcBorders>
              <w:top w:val="nil"/>
              <w:left w:val="nil"/>
              <w:bottom w:val="single" w:sz="4" w:space="0" w:color="auto"/>
              <w:right w:val="single" w:sz="4" w:space="0" w:color="auto"/>
            </w:tcBorders>
            <w:shd w:val="clear" w:color="auto" w:fill="auto"/>
            <w:vAlign w:val="center"/>
            <w:hideMark/>
          </w:tcPr>
          <w:p w14:paraId="22CAC9EF"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2,4</w:t>
            </w:r>
          </w:p>
        </w:tc>
        <w:tc>
          <w:tcPr>
            <w:tcW w:w="581" w:type="dxa"/>
            <w:tcBorders>
              <w:top w:val="nil"/>
              <w:left w:val="nil"/>
              <w:bottom w:val="single" w:sz="4" w:space="0" w:color="auto"/>
              <w:right w:val="single" w:sz="4" w:space="0" w:color="auto"/>
            </w:tcBorders>
            <w:shd w:val="clear" w:color="auto" w:fill="auto"/>
            <w:noWrap/>
            <w:vAlign w:val="center"/>
            <w:hideMark/>
          </w:tcPr>
          <w:p w14:paraId="58B18F98"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2,4</w:t>
            </w:r>
          </w:p>
        </w:tc>
      </w:tr>
      <w:tr w:rsidR="002C660F" w:rsidRPr="002C660F" w14:paraId="0A9E1881" w14:textId="77777777" w:rsidTr="002C660F">
        <w:trPr>
          <w:trHeight w:val="480"/>
        </w:trPr>
        <w:tc>
          <w:tcPr>
            <w:tcW w:w="3819" w:type="dxa"/>
            <w:tcBorders>
              <w:top w:val="nil"/>
              <w:left w:val="single" w:sz="4" w:space="0" w:color="auto"/>
              <w:bottom w:val="single" w:sz="4" w:space="0" w:color="auto"/>
              <w:right w:val="single" w:sz="4" w:space="0" w:color="auto"/>
            </w:tcBorders>
            <w:shd w:val="clear" w:color="000000" w:fill="D9D9D6"/>
            <w:noWrap/>
            <w:vAlign w:val="center"/>
            <w:hideMark/>
          </w:tcPr>
          <w:p w14:paraId="2C24F226" w14:textId="77777777" w:rsidR="002C660F" w:rsidRPr="002C660F" w:rsidRDefault="002C660F" w:rsidP="002C660F">
            <w:pPr>
              <w:spacing w:after="0" w:line="240" w:lineRule="auto"/>
              <w:jc w:val="both"/>
              <w:rPr>
                <w:rFonts w:ascii="Segoe UI Light" w:eastAsia="Times New Roman" w:hAnsi="Segoe UI Light" w:cs="Segoe UI Light"/>
                <w:b/>
                <w:bCs/>
                <w:color w:val="000000"/>
                <w:sz w:val="18"/>
                <w:szCs w:val="18"/>
                <w:lang w:eastAsia="et-EE"/>
              </w:rPr>
            </w:pPr>
            <w:r w:rsidRPr="002C660F">
              <w:rPr>
                <w:rFonts w:ascii="Segoe UI Light" w:eastAsia="Times New Roman" w:hAnsi="Segoe UI Light" w:cs="Segoe UI Light"/>
                <w:b/>
                <w:bCs/>
                <w:color w:val="000000"/>
                <w:sz w:val="18"/>
                <w:szCs w:val="18"/>
                <w:lang w:eastAsia="et-EE"/>
              </w:rPr>
              <w:t>2. Euroala pika</w:t>
            </w:r>
            <w:r w:rsidRPr="002C660F">
              <w:rPr>
                <w:rFonts w:ascii="Segoe UI Light" w:eastAsia="Times New Roman" w:hAnsi="Segoe UI Light" w:cs="Segoe UI Light"/>
                <w:b/>
                <w:bCs/>
                <w:color w:val="000000"/>
                <w:sz w:val="18"/>
                <w:szCs w:val="18"/>
                <w:lang w:eastAsia="et-EE"/>
              </w:rPr>
              <w:softHyphen/>
              <w:t>ajaline intressi</w:t>
            </w:r>
            <w:r w:rsidRPr="002C660F">
              <w:rPr>
                <w:rFonts w:ascii="Segoe UI Light" w:eastAsia="Times New Roman" w:hAnsi="Segoe UI Light" w:cs="Segoe UI Light"/>
                <w:b/>
                <w:bCs/>
                <w:color w:val="000000"/>
                <w:sz w:val="18"/>
                <w:szCs w:val="18"/>
                <w:lang w:eastAsia="et-EE"/>
              </w:rPr>
              <w:softHyphen/>
              <w:t>määr (aasta keskm)</w:t>
            </w:r>
          </w:p>
        </w:tc>
        <w:tc>
          <w:tcPr>
            <w:tcW w:w="1350" w:type="dxa"/>
            <w:tcBorders>
              <w:top w:val="nil"/>
              <w:left w:val="nil"/>
              <w:bottom w:val="single" w:sz="4" w:space="0" w:color="auto"/>
              <w:right w:val="single" w:sz="4" w:space="0" w:color="auto"/>
            </w:tcBorders>
            <w:shd w:val="clear" w:color="000000" w:fill="D9D9D6"/>
            <w:vAlign w:val="center"/>
            <w:hideMark/>
          </w:tcPr>
          <w:p w14:paraId="206A6324"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0,7</w:t>
            </w:r>
          </w:p>
        </w:tc>
        <w:tc>
          <w:tcPr>
            <w:tcW w:w="581" w:type="dxa"/>
            <w:tcBorders>
              <w:top w:val="nil"/>
              <w:left w:val="nil"/>
              <w:bottom w:val="single" w:sz="4" w:space="0" w:color="auto"/>
              <w:right w:val="single" w:sz="4" w:space="0" w:color="auto"/>
            </w:tcBorders>
            <w:shd w:val="clear" w:color="000000" w:fill="D9D9D6"/>
            <w:noWrap/>
            <w:vAlign w:val="center"/>
            <w:hideMark/>
          </w:tcPr>
          <w:p w14:paraId="2C6A0C8F"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1,2</w:t>
            </w:r>
          </w:p>
        </w:tc>
        <w:tc>
          <w:tcPr>
            <w:tcW w:w="581" w:type="dxa"/>
            <w:tcBorders>
              <w:top w:val="nil"/>
              <w:left w:val="nil"/>
              <w:bottom w:val="single" w:sz="4" w:space="0" w:color="auto"/>
              <w:right w:val="single" w:sz="4" w:space="0" w:color="auto"/>
            </w:tcBorders>
            <w:shd w:val="clear" w:color="000000" w:fill="D9D9D6"/>
            <w:noWrap/>
            <w:vAlign w:val="center"/>
            <w:hideMark/>
          </w:tcPr>
          <w:p w14:paraId="7B70916D"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2,5</w:t>
            </w:r>
          </w:p>
        </w:tc>
        <w:tc>
          <w:tcPr>
            <w:tcW w:w="581" w:type="dxa"/>
            <w:tcBorders>
              <w:top w:val="nil"/>
              <w:left w:val="nil"/>
              <w:bottom w:val="single" w:sz="4" w:space="0" w:color="auto"/>
              <w:right w:val="single" w:sz="4" w:space="0" w:color="auto"/>
            </w:tcBorders>
            <w:shd w:val="clear" w:color="000000" w:fill="D9D9D6"/>
            <w:noWrap/>
            <w:vAlign w:val="center"/>
            <w:hideMark/>
          </w:tcPr>
          <w:p w14:paraId="28880DBE"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2,4</w:t>
            </w:r>
          </w:p>
        </w:tc>
        <w:tc>
          <w:tcPr>
            <w:tcW w:w="581" w:type="dxa"/>
            <w:tcBorders>
              <w:top w:val="nil"/>
              <w:left w:val="nil"/>
              <w:bottom w:val="single" w:sz="4" w:space="0" w:color="auto"/>
              <w:right w:val="single" w:sz="4" w:space="0" w:color="auto"/>
            </w:tcBorders>
            <w:shd w:val="clear" w:color="000000" w:fill="D9D9D6"/>
            <w:noWrap/>
            <w:vAlign w:val="center"/>
            <w:hideMark/>
          </w:tcPr>
          <w:p w14:paraId="0683F157"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2,3</w:t>
            </w:r>
          </w:p>
        </w:tc>
        <w:tc>
          <w:tcPr>
            <w:tcW w:w="581" w:type="dxa"/>
            <w:tcBorders>
              <w:top w:val="nil"/>
              <w:left w:val="nil"/>
              <w:bottom w:val="single" w:sz="4" w:space="0" w:color="auto"/>
              <w:right w:val="single" w:sz="4" w:space="0" w:color="auto"/>
            </w:tcBorders>
            <w:shd w:val="clear" w:color="000000" w:fill="D9D9D6"/>
            <w:noWrap/>
            <w:vAlign w:val="center"/>
            <w:hideMark/>
          </w:tcPr>
          <w:p w14:paraId="0ECE5CBE"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2,3</w:t>
            </w:r>
          </w:p>
        </w:tc>
        <w:tc>
          <w:tcPr>
            <w:tcW w:w="985" w:type="dxa"/>
            <w:tcBorders>
              <w:top w:val="nil"/>
              <w:left w:val="nil"/>
              <w:bottom w:val="single" w:sz="4" w:space="0" w:color="auto"/>
              <w:right w:val="single" w:sz="4" w:space="0" w:color="auto"/>
            </w:tcBorders>
            <w:shd w:val="clear" w:color="000000" w:fill="D9D9D6"/>
            <w:vAlign w:val="center"/>
            <w:hideMark/>
          </w:tcPr>
          <w:p w14:paraId="1DC8991A"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2,4</w:t>
            </w:r>
          </w:p>
        </w:tc>
        <w:tc>
          <w:tcPr>
            <w:tcW w:w="581" w:type="dxa"/>
            <w:tcBorders>
              <w:top w:val="nil"/>
              <w:left w:val="nil"/>
              <w:bottom w:val="single" w:sz="4" w:space="0" w:color="auto"/>
              <w:right w:val="single" w:sz="4" w:space="0" w:color="auto"/>
            </w:tcBorders>
            <w:shd w:val="clear" w:color="000000" w:fill="D9D9D6"/>
            <w:noWrap/>
            <w:vAlign w:val="center"/>
            <w:hideMark/>
          </w:tcPr>
          <w:p w14:paraId="33A63723"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2,5</w:t>
            </w:r>
          </w:p>
        </w:tc>
      </w:tr>
      <w:tr w:rsidR="002C660F" w:rsidRPr="002C660F" w14:paraId="48A5B968" w14:textId="77777777" w:rsidTr="002C660F">
        <w:trPr>
          <w:trHeight w:val="300"/>
        </w:trPr>
        <w:tc>
          <w:tcPr>
            <w:tcW w:w="3819" w:type="dxa"/>
            <w:tcBorders>
              <w:top w:val="nil"/>
              <w:left w:val="single" w:sz="4" w:space="0" w:color="auto"/>
              <w:bottom w:val="single" w:sz="4" w:space="0" w:color="auto"/>
              <w:right w:val="single" w:sz="4" w:space="0" w:color="auto"/>
            </w:tcBorders>
            <w:shd w:val="clear" w:color="auto" w:fill="auto"/>
            <w:noWrap/>
            <w:vAlign w:val="center"/>
            <w:hideMark/>
          </w:tcPr>
          <w:p w14:paraId="6E1EB7B8" w14:textId="77777777" w:rsidR="002C660F" w:rsidRPr="002C660F" w:rsidRDefault="002C660F" w:rsidP="002C660F">
            <w:pPr>
              <w:spacing w:after="0" w:line="240" w:lineRule="auto"/>
              <w:jc w:val="both"/>
              <w:rPr>
                <w:rFonts w:ascii="Segoe UI Light" w:eastAsia="Times New Roman" w:hAnsi="Segoe UI Light" w:cs="Segoe UI Light"/>
                <w:b/>
                <w:bCs/>
                <w:color w:val="000000"/>
                <w:sz w:val="18"/>
                <w:szCs w:val="18"/>
                <w:lang w:eastAsia="et-EE"/>
              </w:rPr>
            </w:pPr>
            <w:r w:rsidRPr="002C660F">
              <w:rPr>
                <w:rFonts w:ascii="Segoe UI Light" w:eastAsia="Times New Roman" w:hAnsi="Segoe UI Light" w:cs="Segoe UI Light"/>
                <w:b/>
                <w:bCs/>
                <w:color w:val="000000"/>
                <w:sz w:val="18"/>
                <w:szCs w:val="18"/>
                <w:lang w:eastAsia="et-EE"/>
              </w:rPr>
              <w:t>3. EUR/USD vahetus</w:t>
            </w:r>
            <w:r w:rsidRPr="002C660F">
              <w:rPr>
                <w:rFonts w:ascii="Segoe UI Light" w:eastAsia="Times New Roman" w:hAnsi="Segoe UI Light" w:cs="Segoe UI Light"/>
                <w:b/>
                <w:bCs/>
                <w:color w:val="000000"/>
                <w:sz w:val="18"/>
                <w:szCs w:val="18"/>
                <w:lang w:eastAsia="et-EE"/>
              </w:rPr>
              <w:softHyphen/>
              <w:t>kurss (aasta keskm)</w:t>
            </w:r>
          </w:p>
        </w:tc>
        <w:tc>
          <w:tcPr>
            <w:tcW w:w="1350" w:type="dxa"/>
            <w:tcBorders>
              <w:top w:val="nil"/>
              <w:left w:val="nil"/>
              <w:bottom w:val="single" w:sz="4" w:space="0" w:color="auto"/>
              <w:right w:val="single" w:sz="4" w:space="0" w:color="auto"/>
            </w:tcBorders>
            <w:shd w:val="clear" w:color="auto" w:fill="auto"/>
            <w:vAlign w:val="center"/>
            <w:hideMark/>
          </w:tcPr>
          <w:p w14:paraId="2B7B0A27"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1,209</w:t>
            </w:r>
          </w:p>
        </w:tc>
        <w:tc>
          <w:tcPr>
            <w:tcW w:w="581" w:type="dxa"/>
            <w:tcBorders>
              <w:top w:val="nil"/>
              <w:left w:val="nil"/>
              <w:bottom w:val="single" w:sz="4" w:space="0" w:color="auto"/>
              <w:right w:val="single" w:sz="4" w:space="0" w:color="auto"/>
            </w:tcBorders>
            <w:shd w:val="clear" w:color="auto" w:fill="auto"/>
            <w:noWrap/>
            <w:vAlign w:val="center"/>
            <w:hideMark/>
          </w:tcPr>
          <w:p w14:paraId="2A413AD5"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1,053</w:t>
            </w:r>
          </w:p>
        </w:tc>
        <w:tc>
          <w:tcPr>
            <w:tcW w:w="581" w:type="dxa"/>
            <w:tcBorders>
              <w:top w:val="nil"/>
              <w:left w:val="nil"/>
              <w:bottom w:val="single" w:sz="4" w:space="0" w:color="auto"/>
              <w:right w:val="single" w:sz="4" w:space="0" w:color="auto"/>
            </w:tcBorders>
            <w:shd w:val="clear" w:color="auto" w:fill="auto"/>
            <w:noWrap/>
            <w:vAlign w:val="center"/>
            <w:hideMark/>
          </w:tcPr>
          <w:p w14:paraId="237ACDDB"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1,082</w:t>
            </w:r>
          </w:p>
        </w:tc>
        <w:tc>
          <w:tcPr>
            <w:tcW w:w="581" w:type="dxa"/>
            <w:tcBorders>
              <w:top w:val="nil"/>
              <w:left w:val="nil"/>
              <w:bottom w:val="single" w:sz="4" w:space="0" w:color="auto"/>
              <w:right w:val="single" w:sz="4" w:space="0" w:color="auto"/>
            </w:tcBorders>
            <w:shd w:val="clear" w:color="auto" w:fill="auto"/>
            <w:noWrap/>
            <w:vAlign w:val="center"/>
            <w:hideMark/>
          </w:tcPr>
          <w:p w14:paraId="3938012F"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1,083</w:t>
            </w:r>
          </w:p>
        </w:tc>
        <w:tc>
          <w:tcPr>
            <w:tcW w:w="581" w:type="dxa"/>
            <w:tcBorders>
              <w:top w:val="nil"/>
              <w:left w:val="nil"/>
              <w:bottom w:val="single" w:sz="4" w:space="0" w:color="auto"/>
              <w:right w:val="single" w:sz="4" w:space="0" w:color="auto"/>
            </w:tcBorders>
            <w:shd w:val="clear" w:color="auto" w:fill="auto"/>
            <w:noWrap/>
            <w:vAlign w:val="center"/>
            <w:hideMark/>
          </w:tcPr>
          <w:p w14:paraId="34922B83"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1,083</w:t>
            </w:r>
          </w:p>
        </w:tc>
        <w:tc>
          <w:tcPr>
            <w:tcW w:w="581" w:type="dxa"/>
            <w:tcBorders>
              <w:top w:val="nil"/>
              <w:left w:val="nil"/>
              <w:bottom w:val="single" w:sz="4" w:space="0" w:color="auto"/>
              <w:right w:val="single" w:sz="4" w:space="0" w:color="auto"/>
            </w:tcBorders>
            <w:shd w:val="clear" w:color="auto" w:fill="auto"/>
            <w:noWrap/>
            <w:vAlign w:val="center"/>
            <w:hideMark/>
          </w:tcPr>
          <w:p w14:paraId="669C0659"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1,083</w:t>
            </w:r>
          </w:p>
        </w:tc>
        <w:tc>
          <w:tcPr>
            <w:tcW w:w="985" w:type="dxa"/>
            <w:tcBorders>
              <w:top w:val="nil"/>
              <w:left w:val="nil"/>
              <w:bottom w:val="single" w:sz="4" w:space="0" w:color="auto"/>
              <w:right w:val="single" w:sz="4" w:space="0" w:color="auto"/>
            </w:tcBorders>
            <w:shd w:val="clear" w:color="auto" w:fill="auto"/>
            <w:vAlign w:val="center"/>
            <w:hideMark/>
          </w:tcPr>
          <w:p w14:paraId="0AAC624C"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1,083</w:t>
            </w:r>
          </w:p>
        </w:tc>
        <w:tc>
          <w:tcPr>
            <w:tcW w:w="581" w:type="dxa"/>
            <w:tcBorders>
              <w:top w:val="nil"/>
              <w:left w:val="nil"/>
              <w:bottom w:val="single" w:sz="4" w:space="0" w:color="auto"/>
              <w:right w:val="single" w:sz="4" w:space="0" w:color="auto"/>
            </w:tcBorders>
            <w:shd w:val="clear" w:color="auto" w:fill="auto"/>
            <w:noWrap/>
            <w:vAlign w:val="center"/>
            <w:hideMark/>
          </w:tcPr>
          <w:p w14:paraId="1243A88C"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1,083</w:t>
            </w:r>
          </w:p>
        </w:tc>
      </w:tr>
      <w:tr w:rsidR="002C660F" w:rsidRPr="002C660F" w14:paraId="78F7F75C" w14:textId="77777777" w:rsidTr="002C660F">
        <w:trPr>
          <w:trHeight w:val="300"/>
        </w:trPr>
        <w:tc>
          <w:tcPr>
            <w:tcW w:w="3819" w:type="dxa"/>
            <w:tcBorders>
              <w:top w:val="nil"/>
              <w:left w:val="single" w:sz="4" w:space="0" w:color="auto"/>
              <w:bottom w:val="single" w:sz="4" w:space="0" w:color="auto"/>
              <w:right w:val="single" w:sz="4" w:space="0" w:color="auto"/>
            </w:tcBorders>
            <w:shd w:val="clear" w:color="000000" w:fill="D9D9D6"/>
            <w:noWrap/>
            <w:vAlign w:val="center"/>
            <w:hideMark/>
          </w:tcPr>
          <w:p w14:paraId="18C6AD9D" w14:textId="77777777" w:rsidR="002C660F" w:rsidRPr="002C660F" w:rsidRDefault="002C660F" w:rsidP="002C660F">
            <w:pPr>
              <w:spacing w:after="0" w:line="240" w:lineRule="auto"/>
              <w:jc w:val="both"/>
              <w:rPr>
                <w:rFonts w:ascii="Segoe UI Light" w:eastAsia="Times New Roman" w:hAnsi="Segoe UI Light" w:cs="Segoe UI Light"/>
                <w:b/>
                <w:bCs/>
                <w:color w:val="000000"/>
                <w:sz w:val="18"/>
                <w:szCs w:val="18"/>
                <w:lang w:eastAsia="et-EE"/>
              </w:rPr>
            </w:pPr>
            <w:r w:rsidRPr="002C660F">
              <w:rPr>
                <w:rFonts w:ascii="Segoe UI Light" w:eastAsia="Times New Roman" w:hAnsi="Segoe UI Light" w:cs="Segoe UI Light"/>
                <w:b/>
                <w:bCs/>
                <w:color w:val="000000"/>
                <w:sz w:val="18"/>
                <w:szCs w:val="18"/>
                <w:lang w:eastAsia="et-EE"/>
              </w:rPr>
              <w:t>4. Euroala harmo</w:t>
            </w:r>
            <w:r w:rsidRPr="002C660F">
              <w:rPr>
                <w:rFonts w:ascii="Segoe UI Light" w:eastAsia="Times New Roman" w:hAnsi="Segoe UI Light" w:cs="Segoe UI Light"/>
                <w:b/>
                <w:bCs/>
                <w:color w:val="000000"/>
                <w:sz w:val="18"/>
                <w:szCs w:val="18"/>
                <w:lang w:eastAsia="et-EE"/>
              </w:rPr>
              <w:softHyphen/>
              <w:t>neeritud THI</w:t>
            </w:r>
          </w:p>
        </w:tc>
        <w:tc>
          <w:tcPr>
            <w:tcW w:w="1350" w:type="dxa"/>
            <w:tcBorders>
              <w:top w:val="nil"/>
              <w:left w:val="nil"/>
              <w:bottom w:val="single" w:sz="4" w:space="0" w:color="auto"/>
              <w:right w:val="single" w:sz="4" w:space="0" w:color="auto"/>
            </w:tcBorders>
            <w:shd w:val="clear" w:color="000000" w:fill="D9D9D6"/>
            <w:vAlign w:val="center"/>
            <w:hideMark/>
          </w:tcPr>
          <w:p w14:paraId="18FF29EB"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1,3</w:t>
            </w:r>
          </w:p>
        </w:tc>
        <w:tc>
          <w:tcPr>
            <w:tcW w:w="581" w:type="dxa"/>
            <w:tcBorders>
              <w:top w:val="nil"/>
              <w:left w:val="nil"/>
              <w:bottom w:val="single" w:sz="4" w:space="0" w:color="auto"/>
              <w:right w:val="single" w:sz="4" w:space="0" w:color="auto"/>
            </w:tcBorders>
            <w:shd w:val="clear" w:color="000000" w:fill="D9D9D6"/>
            <w:noWrap/>
            <w:vAlign w:val="center"/>
            <w:hideMark/>
          </w:tcPr>
          <w:p w14:paraId="0FF7D399"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8,4</w:t>
            </w:r>
          </w:p>
        </w:tc>
        <w:tc>
          <w:tcPr>
            <w:tcW w:w="581" w:type="dxa"/>
            <w:tcBorders>
              <w:top w:val="nil"/>
              <w:left w:val="nil"/>
              <w:bottom w:val="single" w:sz="4" w:space="0" w:color="auto"/>
              <w:right w:val="single" w:sz="4" w:space="0" w:color="auto"/>
            </w:tcBorders>
            <w:shd w:val="clear" w:color="000000" w:fill="D9D9D6"/>
            <w:noWrap/>
            <w:vAlign w:val="center"/>
            <w:hideMark/>
          </w:tcPr>
          <w:p w14:paraId="317D430A"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5,4</w:t>
            </w:r>
          </w:p>
        </w:tc>
        <w:tc>
          <w:tcPr>
            <w:tcW w:w="581" w:type="dxa"/>
            <w:tcBorders>
              <w:top w:val="nil"/>
              <w:left w:val="nil"/>
              <w:bottom w:val="single" w:sz="4" w:space="0" w:color="auto"/>
              <w:right w:val="single" w:sz="4" w:space="0" w:color="auto"/>
            </w:tcBorders>
            <w:shd w:val="clear" w:color="000000" w:fill="D9D9D6"/>
            <w:noWrap/>
            <w:vAlign w:val="center"/>
            <w:hideMark/>
          </w:tcPr>
          <w:p w14:paraId="2D81A1CA"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2,7</w:t>
            </w:r>
          </w:p>
        </w:tc>
        <w:tc>
          <w:tcPr>
            <w:tcW w:w="581" w:type="dxa"/>
            <w:tcBorders>
              <w:top w:val="nil"/>
              <w:left w:val="nil"/>
              <w:bottom w:val="single" w:sz="4" w:space="0" w:color="auto"/>
              <w:right w:val="single" w:sz="4" w:space="0" w:color="auto"/>
            </w:tcBorders>
            <w:shd w:val="clear" w:color="000000" w:fill="D9D9D6"/>
            <w:noWrap/>
            <w:vAlign w:val="center"/>
            <w:hideMark/>
          </w:tcPr>
          <w:p w14:paraId="61287CFA"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2,2</w:t>
            </w:r>
          </w:p>
        </w:tc>
        <w:tc>
          <w:tcPr>
            <w:tcW w:w="581" w:type="dxa"/>
            <w:tcBorders>
              <w:top w:val="nil"/>
              <w:left w:val="nil"/>
              <w:bottom w:val="single" w:sz="4" w:space="0" w:color="auto"/>
              <w:right w:val="single" w:sz="4" w:space="0" w:color="auto"/>
            </w:tcBorders>
            <w:shd w:val="clear" w:color="000000" w:fill="D9D9D6"/>
            <w:noWrap/>
            <w:vAlign w:val="center"/>
            <w:hideMark/>
          </w:tcPr>
          <w:p w14:paraId="694F5E4E"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w:t>
            </w:r>
          </w:p>
        </w:tc>
        <w:tc>
          <w:tcPr>
            <w:tcW w:w="985" w:type="dxa"/>
            <w:tcBorders>
              <w:top w:val="nil"/>
              <w:left w:val="nil"/>
              <w:bottom w:val="single" w:sz="4" w:space="0" w:color="auto"/>
              <w:right w:val="single" w:sz="4" w:space="0" w:color="auto"/>
            </w:tcBorders>
            <w:shd w:val="clear" w:color="000000" w:fill="D9D9D6"/>
            <w:vAlign w:val="center"/>
            <w:hideMark/>
          </w:tcPr>
          <w:p w14:paraId="24E1CE39"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1,9</w:t>
            </w:r>
          </w:p>
        </w:tc>
        <w:tc>
          <w:tcPr>
            <w:tcW w:w="581" w:type="dxa"/>
            <w:tcBorders>
              <w:top w:val="nil"/>
              <w:left w:val="nil"/>
              <w:bottom w:val="single" w:sz="4" w:space="0" w:color="auto"/>
              <w:right w:val="single" w:sz="4" w:space="0" w:color="auto"/>
            </w:tcBorders>
            <w:shd w:val="clear" w:color="000000" w:fill="D9D9D6"/>
            <w:noWrap/>
            <w:vAlign w:val="center"/>
            <w:hideMark/>
          </w:tcPr>
          <w:p w14:paraId="05B12C2A"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1,9</w:t>
            </w:r>
          </w:p>
        </w:tc>
      </w:tr>
      <w:tr w:rsidR="002C660F" w:rsidRPr="002C660F" w14:paraId="554FD677" w14:textId="77777777" w:rsidTr="002C660F">
        <w:trPr>
          <w:trHeight w:val="300"/>
        </w:trPr>
        <w:tc>
          <w:tcPr>
            <w:tcW w:w="3819" w:type="dxa"/>
            <w:tcBorders>
              <w:top w:val="nil"/>
              <w:left w:val="single" w:sz="4" w:space="0" w:color="auto"/>
              <w:bottom w:val="single" w:sz="4" w:space="0" w:color="auto"/>
              <w:right w:val="single" w:sz="4" w:space="0" w:color="auto"/>
            </w:tcBorders>
            <w:shd w:val="clear" w:color="auto" w:fill="auto"/>
            <w:noWrap/>
            <w:vAlign w:val="center"/>
            <w:hideMark/>
          </w:tcPr>
          <w:p w14:paraId="5BD975C9" w14:textId="77777777" w:rsidR="002C660F" w:rsidRPr="002C660F" w:rsidRDefault="002C660F" w:rsidP="002C660F">
            <w:pPr>
              <w:spacing w:after="0" w:line="240" w:lineRule="auto"/>
              <w:jc w:val="both"/>
              <w:rPr>
                <w:rFonts w:ascii="Segoe UI Light" w:eastAsia="Times New Roman" w:hAnsi="Segoe UI Light" w:cs="Segoe UI Light"/>
                <w:b/>
                <w:bCs/>
                <w:color w:val="000000"/>
                <w:sz w:val="18"/>
                <w:szCs w:val="18"/>
                <w:lang w:eastAsia="et-EE"/>
              </w:rPr>
            </w:pPr>
            <w:r w:rsidRPr="002C660F">
              <w:rPr>
                <w:rFonts w:ascii="Segoe UI Light" w:eastAsia="Times New Roman" w:hAnsi="Segoe UI Light" w:cs="Segoe UI Light"/>
                <w:b/>
                <w:bCs/>
                <w:color w:val="000000"/>
                <w:sz w:val="18"/>
                <w:szCs w:val="18"/>
                <w:lang w:eastAsia="et-EE"/>
              </w:rPr>
              <w:t>5. Nafta hind (</w:t>
            </w:r>
            <w:proofErr w:type="spellStart"/>
            <w:r w:rsidRPr="002C660F">
              <w:rPr>
                <w:rFonts w:ascii="Segoe UI Light" w:eastAsia="Times New Roman" w:hAnsi="Segoe UI Light" w:cs="Segoe UI Light"/>
                <w:b/>
                <w:bCs/>
                <w:color w:val="000000"/>
                <w:sz w:val="18"/>
                <w:szCs w:val="18"/>
                <w:lang w:eastAsia="et-EE"/>
              </w:rPr>
              <w:t>Brent</w:t>
            </w:r>
            <w:proofErr w:type="spellEnd"/>
            <w:r w:rsidRPr="002C660F">
              <w:rPr>
                <w:rFonts w:ascii="Segoe UI Light" w:eastAsia="Times New Roman" w:hAnsi="Segoe UI Light" w:cs="Segoe UI Light"/>
                <w:b/>
                <w:bCs/>
                <w:color w:val="000000"/>
                <w:sz w:val="18"/>
                <w:szCs w:val="18"/>
                <w:lang w:eastAsia="et-EE"/>
              </w:rPr>
              <w:t>, USD/barrel)</w:t>
            </w:r>
          </w:p>
        </w:tc>
        <w:tc>
          <w:tcPr>
            <w:tcW w:w="1350" w:type="dxa"/>
            <w:tcBorders>
              <w:top w:val="nil"/>
              <w:left w:val="nil"/>
              <w:bottom w:val="single" w:sz="4" w:space="0" w:color="auto"/>
              <w:right w:val="single" w:sz="4" w:space="0" w:color="auto"/>
            </w:tcBorders>
            <w:shd w:val="clear" w:color="auto" w:fill="auto"/>
            <w:vAlign w:val="center"/>
            <w:hideMark/>
          </w:tcPr>
          <w:p w14:paraId="4088997B"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75,3</w:t>
            </w:r>
          </w:p>
        </w:tc>
        <w:tc>
          <w:tcPr>
            <w:tcW w:w="581" w:type="dxa"/>
            <w:tcBorders>
              <w:top w:val="nil"/>
              <w:left w:val="nil"/>
              <w:bottom w:val="single" w:sz="4" w:space="0" w:color="auto"/>
              <w:right w:val="single" w:sz="4" w:space="0" w:color="auto"/>
            </w:tcBorders>
            <w:shd w:val="clear" w:color="auto" w:fill="auto"/>
            <w:noWrap/>
            <w:vAlign w:val="center"/>
            <w:hideMark/>
          </w:tcPr>
          <w:p w14:paraId="5374C804"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101,3</w:t>
            </w:r>
          </w:p>
        </w:tc>
        <w:tc>
          <w:tcPr>
            <w:tcW w:w="581" w:type="dxa"/>
            <w:tcBorders>
              <w:top w:val="nil"/>
              <w:left w:val="nil"/>
              <w:bottom w:val="single" w:sz="4" w:space="0" w:color="auto"/>
              <w:right w:val="single" w:sz="4" w:space="0" w:color="auto"/>
            </w:tcBorders>
            <w:shd w:val="clear" w:color="auto" w:fill="auto"/>
            <w:noWrap/>
            <w:vAlign w:val="center"/>
            <w:hideMark/>
          </w:tcPr>
          <w:p w14:paraId="422A3478"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82,6</w:t>
            </w:r>
          </w:p>
        </w:tc>
        <w:tc>
          <w:tcPr>
            <w:tcW w:w="581" w:type="dxa"/>
            <w:tcBorders>
              <w:top w:val="nil"/>
              <w:left w:val="nil"/>
              <w:bottom w:val="single" w:sz="4" w:space="0" w:color="auto"/>
              <w:right w:val="single" w:sz="4" w:space="0" w:color="auto"/>
            </w:tcBorders>
            <w:shd w:val="clear" w:color="auto" w:fill="auto"/>
            <w:noWrap/>
            <w:vAlign w:val="center"/>
            <w:hideMark/>
          </w:tcPr>
          <w:p w14:paraId="682BB276"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81,3</w:t>
            </w:r>
          </w:p>
        </w:tc>
        <w:tc>
          <w:tcPr>
            <w:tcW w:w="581" w:type="dxa"/>
            <w:tcBorders>
              <w:top w:val="nil"/>
              <w:left w:val="nil"/>
              <w:bottom w:val="single" w:sz="4" w:space="0" w:color="auto"/>
              <w:right w:val="single" w:sz="4" w:space="0" w:color="auto"/>
            </w:tcBorders>
            <w:shd w:val="clear" w:color="auto" w:fill="auto"/>
            <w:noWrap/>
            <w:vAlign w:val="center"/>
            <w:hideMark/>
          </w:tcPr>
          <w:p w14:paraId="6F6A5505"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76,1</w:t>
            </w:r>
          </w:p>
        </w:tc>
        <w:tc>
          <w:tcPr>
            <w:tcW w:w="581" w:type="dxa"/>
            <w:tcBorders>
              <w:top w:val="nil"/>
              <w:left w:val="nil"/>
              <w:bottom w:val="single" w:sz="4" w:space="0" w:color="auto"/>
              <w:right w:val="single" w:sz="4" w:space="0" w:color="auto"/>
            </w:tcBorders>
            <w:shd w:val="clear" w:color="auto" w:fill="auto"/>
            <w:noWrap/>
            <w:vAlign w:val="center"/>
            <w:hideMark/>
          </w:tcPr>
          <w:p w14:paraId="5D4CA031"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72,9</w:t>
            </w:r>
          </w:p>
        </w:tc>
        <w:tc>
          <w:tcPr>
            <w:tcW w:w="985" w:type="dxa"/>
            <w:tcBorders>
              <w:top w:val="nil"/>
              <w:left w:val="nil"/>
              <w:bottom w:val="single" w:sz="4" w:space="0" w:color="auto"/>
              <w:right w:val="single" w:sz="4" w:space="0" w:color="auto"/>
            </w:tcBorders>
            <w:shd w:val="clear" w:color="auto" w:fill="auto"/>
            <w:vAlign w:val="center"/>
            <w:hideMark/>
          </w:tcPr>
          <w:p w14:paraId="5FAA6FE9"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70,9</w:t>
            </w:r>
          </w:p>
        </w:tc>
        <w:tc>
          <w:tcPr>
            <w:tcW w:w="581" w:type="dxa"/>
            <w:tcBorders>
              <w:top w:val="nil"/>
              <w:left w:val="nil"/>
              <w:bottom w:val="single" w:sz="4" w:space="0" w:color="auto"/>
              <w:right w:val="single" w:sz="4" w:space="0" w:color="auto"/>
            </w:tcBorders>
            <w:shd w:val="clear" w:color="auto" w:fill="auto"/>
            <w:noWrap/>
            <w:vAlign w:val="center"/>
            <w:hideMark/>
          </w:tcPr>
          <w:p w14:paraId="28941E01"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70,1</w:t>
            </w:r>
          </w:p>
        </w:tc>
      </w:tr>
      <w:tr w:rsidR="002C660F" w:rsidRPr="002C660F" w14:paraId="31748803" w14:textId="77777777" w:rsidTr="002C660F">
        <w:trPr>
          <w:trHeight w:val="300"/>
        </w:trPr>
        <w:tc>
          <w:tcPr>
            <w:tcW w:w="3819" w:type="dxa"/>
            <w:tcBorders>
              <w:top w:val="nil"/>
              <w:left w:val="single" w:sz="4" w:space="0" w:color="auto"/>
              <w:bottom w:val="single" w:sz="4" w:space="0" w:color="auto"/>
              <w:right w:val="single" w:sz="4" w:space="0" w:color="auto"/>
            </w:tcBorders>
            <w:shd w:val="clear" w:color="000000" w:fill="D9D9D6"/>
            <w:noWrap/>
            <w:vAlign w:val="center"/>
            <w:hideMark/>
          </w:tcPr>
          <w:p w14:paraId="72E385B8" w14:textId="77777777" w:rsidR="002C660F" w:rsidRPr="002C660F" w:rsidRDefault="002C660F" w:rsidP="002C660F">
            <w:pPr>
              <w:spacing w:after="0" w:line="240" w:lineRule="auto"/>
              <w:jc w:val="both"/>
              <w:rPr>
                <w:rFonts w:ascii="Segoe UI Light" w:eastAsia="Times New Roman" w:hAnsi="Segoe UI Light" w:cs="Segoe UI Light"/>
                <w:b/>
                <w:bCs/>
                <w:color w:val="000000"/>
                <w:sz w:val="18"/>
                <w:szCs w:val="18"/>
                <w:lang w:eastAsia="et-EE"/>
              </w:rPr>
            </w:pPr>
            <w:r w:rsidRPr="002C660F">
              <w:rPr>
                <w:rFonts w:ascii="Segoe UI Light" w:eastAsia="Times New Roman" w:hAnsi="Segoe UI Light" w:cs="Segoe UI Light"/>
                <w:b/>
                <w:bCs/>
                <w:color w:val="000000"/>
                <w:sz w:val="18"/>
                <w:szCs w:val="18"/>
                <w:lang w:eastAsia="et-EE"/>
              </w:rPr>
              <w:t>6. Nafta hind (</w:t>
            </w:r>
            <w:proofErr w:type="spellStart"/>
            <w:r w:rsidRPr="002C660F">
              <w:rPr>
                <w:rFonts w:ascii="Segoe UI Light" w:eastAsia="Times New Roman" w:hAnsi="Segoe UI Light" w:cs="Segoe UI Light"/>
                <w:b/>
                <w:bCs/>
                <w:color w:val="000000"/>
                <w:sz w:val="18"/>
                <w:szCs w:val="18"/>
                <w:lang w:eastAsia="et-EE"/>
              </w:rPr>
              <w:t>Brent</w:t>
            </w:r>
            <w:proofErr w:type="spellEnd"/>
            <w:r w:rsidRPr="002C660F">
              <w:rPr>
                <w:rFonts w:ascii="Segoe UI Light" w:eastAsia="Times New Roman" w:hAnsi="Segoe UI Light" w:cs="Segoe UI Light"/>
                <w:b/>
                <w:bCs/>
                <w:color w:val="000000"/>
                <w:sz w:val="18"/>
                <w:szCs w:val="18"/>
                <w:lang w:eastAsia="et-EE"/>
              </w:rPr>
              <w:t>, EUR/barrel)</w:t>
            </w:r>
          </w:p>
        </w:tc>
        <w:tc>
          <w:tcPr>
            <w:tcW w:w="1350" w:type="dxa"/>
            <w:tcBorders>
              <w:top w:val="nil"/>
              <w:left w:val="nil"/>
              <w:bottom w:val="single" w:sz="4" w:space="0" w:color="auto"/>
              <w:right w:val="single" w:sz="4" w:space="0" w:color="auto"/>
            </w:tcBorders>
            <w:shd w:val="clear" w:color="000000" w:fill="D9D9D6"/>
            <w:vAlign w:val="center"/>
            <w:hideMark/>
          </w:tcPr>
          <w:p w14:paraId="1D8DD2AA"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61,1</w:t>
            </w:r>
          </w:p>
        </w:tc>
        <w:tc>
          <w:tcPr>
            <w:tcW w:w="581" w:type="dxa"/>
            <w:tcBorders>
              <w:top w:val="nil"/>
              <w:left w:val="nil"/>
              <w:bottom w:val="single" w:sz="4" w:space="0" w:color="auto"/>
              <w:right w:val="single" w:sz="4" w:space="0" w:color="auto"/>
            </w:tcBorders>
            <w:shd w:val="clear" w:color="000000" w:fill="D9D9D6"/>
            <w:noWrap/>
            <w:vAlign w:val="center"/>
            <w:hideMark/>
          </w:tcPr>
          <w:p w14:paraId="64D7901C"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96,2</w:t>
            </w:r>
          </w:p>
        </w:tc>
        <w:tc>
          <w:tcPr>
            <w:tcW w:w="581" w:type="dxa"/>
            <w:tcBorders>
              <w:top w:val="nil"/>
              <w:left w:val="nil"/>
              <w:bottom w:val="single" w:sz="4" w:space="0" w:color="auto"/>
              <w:right w:val="single" w:sz="4" w:space="0" w:color="auto"/>
            </w:tcBorders>
            <w:shd w:val="clear" w:color="000000" w:fill="D9D9D6"/>
            <w:noWrap/>
            <w:vAlign w:val="center"/>
            <w:hideMark/>
          </w:tcPr>
          <w:p w14:paraId="3CC05F88"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76,3</w:t>
            </w:r>
          </w:p>
        </w:tc>
        <w:tc>
          <w:tcPr>
            <w:tcW w:w="581" w:type="dxa"/>
            <w:tcBorders>
              <w:top w:val="nil"/>
              <w:left w:val="nil"/>
              <w:bottom w:val="single" w:sz="4" w:space="0" w:color="auto"/>
              <w:right w:val="single" w:sz="4" w:space="0" w:color="auto"/>
            </w:tcBorders>
            <w:shd w:val="clear" w:color="000000" w:fill="D9D9D6"/>
            <w:noWrap/>
            <w:vAlign w:val="center"/>
            <w:hideMark/>
          </w:tcPr>
          <w:p w14:paraId="3B1DCAAF"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75</w:t>
            </w:r>
          </w:p>
        </w:tc>
        <w:tc>
          <w:tcPr>
            <w:tcW w:w="581" w:type="dxa"/>
            <w:tcBorders>
              <w:top w:val="nil"/>
              <w:left w:val="nil"/>
              <w:bottom w:val="single" w:sz="4" w:space="0" w:color="auto"/>
              <w:right w:val="single" w:sz="4" w:space="0" w:color="auto"/>
            </w:tcBorders>
            <w:shd w:val="clear" w:color="000000" w:fill="D9D9D6"/>
            <w:noWrap/>
            <w:vAlign w:val="center"/>
            <w:hideMark/>
          </w:tcPr>
          <w:p w14:paraId="00F57318"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70,2</w:t>
            </w:r>
          </w:p>
        </w:tc>
        <w:tc>
          <w:tcPr>
            <w:tcW w:w="581" w:type="dxa"/>
            <w:tcBorders>
              <w:top w:val="nil"/>
              <w:left w:val="nil"/>
              <w:bottom w:val="single" w:sz="4" w:space="0" w:color="auto"/>
              <w:right w:val="single" w:sz="4" w:space="0" w:color="auto"/>
            </w:tcBorders>
            <w:shd w:val="clear" w:color="000000" w:fill="D9D9D6"/>
            <w:noWrap/>
            <w:vAlign w:val="center"/>
            <w:hideMark/>
          </w:tcPr>
          <w:p w14:paraId="634D1930"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67,3</w:t>
            </w:r>
          </w:p>
        </w:tc>
        <w:tc>
          <w:tcPr>
            <w:tcW w:w="985" w:type="dxa"/>
            <w:tcBorders>
              <w:top w:val="nil"/>
              <w:left w:val="nil"/>
              <w:bottom w:val="single" w:sz="4" w:space="0" w:color="auto"/>
              <w:right w:val="single" w:sz="4" w:space="0" w:color="auto"/>
            </w:tcBorders>
            <w:shd w:val="clear" w:color="000000" w:fill="D9D9D6"/>
            <w:vAlign w:val="center"/>
            <w:hideMark/>
          </w:tcPr>
          <w:p w14:paraId="1FCC2C7E"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65,5</w:t>
            </w:r>
          </w:p>
        </w:tc>
        <w:tc>
          <w:tcPr>
            <w:tcW w:w="581" w:type="dxa"/>
            <w:tcBorders>
              <w:top w:val="nil"/>
              <w:left w:val="nil"/>
              <w:bottom w:val="single" w:sz="4" w:space="0" w:color="auto"/>
              <w:right w:val="single" w:sz="4" w:space="0" w:color="auto"/>
            </w:tcBorders>
            <w:shd w:val="clear" w:color="000000" w:fill="D9D9D6"/>
            <w:noWrap/>
            <w:vAlign w:val="center"/>
            <w:hideMark/>
          </w:tcPr>
          <w:p w14:paraId="76D3ABD8"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64,7</w:t>
            </w:r>
          </w:p>
        </w:tc>
      </w:tr>
      <w:tr w:rsidR="002C660F" w:rsidRPr="002C660F" w14:paraId="105EE1B6" w14:textId="77777777" w:rsidTr="002C660F">
        <w:trPr>
          <w:trHeight w:val="300"/>
        </w:trPr>
        <w:tc>
          <w:tcPr>
            <w:tcW w:w="3819" w:type="dxa"/>
            <w:tcBorders>
              <w:top w:val="nil"/>
              <w:left w:val="single" w:sz="4" w:space="0" w:color="auto"/>
              <w:bottom w:val="single" w:sz="4" w:space="0" w:color="auto"/>
              <w:right w:val="single" w:sz="4" w:space="0" w:color="auto"/>
            </w:tcBorders>
            <w:shd w:val="clear" w:color="auto" w:fill="auto"/>
            <w:noWrap/>
            <w:vAlign w:val="center"/>
            <w:hideMark/>
          </w:tcPr>
          <w:p w14:paraId="5E92AF62" w14:textId="77777777" w:rsidR="002C660F" w:rsidRPr="002C660F" w:rsidRDefault="002C660F" w:rsidP="002C660F">
            <w:pPr>
              <w:spacing w:after="0" w:line="240" w:lineRule="auto"/>
              <w:jc w:val="both"/>
              <w:rPr>
                <w:rFonts w:ascii="Segoe UI Light" w:eastAsia="Times New Roman" w:hAnsi="Segoe UI Light" w:cs="Segoe UI Light"/>
                <w:b/>
                <w:bCs/>
                <w:color w:val="000000"/>
                <w:sz w:val="18"/>
                <w:szCs w:val="18"/>
                <w:lang w:eastAsia="et-EE"/>
              </w:rPr>
            </w:pPr>
            <w:r w:rsidRPr="002C660F">
              <w:rPr>
                <w:rFonts w:ascii="Segoe UI Light" w:eastAsia="Times New Roman" w:hAnsi="Segoe UI Light" w:cs="Segoe UI Light"/>
                <w:b/>
                <w:bCs/>
                <w:color w:val="000000"/>
                <w:sz w:val="18"/>
                <w:szCs w:val="18"/>
                <w:lang w:eastAsia="et-EE"/>
              </w:rPr>
              <w:t>7. Gaasi hind (TTF, EUR/MWh)</w:t>
            </w:r>
          </w:p>
        </w:tc>
        <w:tc>
          <w:tcPr>
            <w:tcW w:w="1350" w:type="dxa"/>
            <w:tcBorders>
              <w:top w:val="nil"/>
              <w:left w:val="nil"/>
              <w:bottom w:val="single" w:sz="4" w:space="0" w:color="auto"/>
              <w:right w:val="single" w:sz="4" w:space="0" w:color="auto"/>
            </w:tcBorders>
            <w:shd w:val="clear" w:color="auto" w:fill="auto"/>
            <w:vAlign w:val="center"/>
            <w:hideMark/>
          </w:tcPr>
          <w:p w14:paraId="3C5F29B4"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 </w:t>
            </w:r>
          </w:p>
        </w:tc>
        <w:tc>
          <w:tcPr>
            <w:tcW w:w="581" w:type="dxa"/>
            <w:tcBorders>
              <w:top w:val="nil"/>
              <w:left w:val="nil"/>
              <w:bottom w:val="single" w:sz="4" w:space="0" w:color="auto"/>
              <w:right w:val="single" w:sz="4" w:space="0" w:color="auto"/>
            </w:tcBorders>
            <w:shd w:val="clear" w:color="auto" w:fill="auto"/>
            <w:noWrap/>
            <w:vAlign w:val="center"/>
            <w:hideMark/>
          </w:tcPr>
          <w:p w14:paraId="29CFB5D5"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133,2</w:t>
            </w:r>
          </w:p>
        </w:tc>
        <w:tc>
          <w:tcPr>
            <w:tcW w:w="581" w:type="dxa"/>
            <w:tcBorders>
              <w:top w:val="nil"/>
              <w:left w:val="nil"/>
              <w:bottom w:val="single" w:sz="4" w:space="0" w:color="auto"/>
              <w:right w:val="single" w:sz="4" w:space="0" w:color="auto"/>
            </w:tcBorders>
            <w:shd w:val="clear" w:color="auto" w:fill="auto"/>
            <w:noWrap/>
            <w:vAlign w:val="center"/>
            <w:hideMark/>
          </w:tcPr>
          <w:p w14:paraId="207F853F"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41,4</w:t>
            </w:r>
          </w:p>
        </w:tc>
        <w:tc>
          <w:tcPr>
            <w:tcW w:w="581" w:type="dxa"/>
            <w:tcBorders>
              <w:top w:val="nil"/>
              <w:left w:val="nil"/>
              <w:bottom w:val="single" w:sz="4" w:space="0" w:color="auto"/>
              <w:right w:val="single" w:sz="4" w:space="0" w:color="auto"/>
            </w:tcBorders>
            <w:shd w:val="clear" w:color="auto" w:fill="auto"/>
            <w:noWrap/>
            <w:vAlign w:val="center"/>
            <w:hideMark/>
          </w:tcPr>
          <w:p w14:paraId="572785B2"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26,2</w:t>
            </w:r>
          </w:p>
        </w:tc>
        <w:tc>
          <w:tcPr>
            <w:tcW w:w="581" w:type="dxa"/>
            <w:tcBorders>
              <w:top w:val="nil"/>
              <w:left w:val="nil"/>
              <w:bottom w:val="single" w:sz="4" w:space="0" w:color="auto"/>
              <w:right w:val="single" w:sz="4" w:space="0" w:color="auto"/>
            </w:tcBorders>
            <w:shd w:val="clear" w:color="auto" w:fill="auto"/>
            <w:noWrap/>
            <w:vAlign w:val="center"/>
            <w:hideMark/>
          </w:tcPr>
          <w:p w14:paraId="2240E644"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28,7</w:t>
            </w:r>
          </w:p>
        </w:tc>
        <w:tc>
          <w:tcPr>
            <w:tcW w:w="581" w:type="dxa"/>
            <w:tcBorders>
              <w:top w:val="nil"/>
              <w:left w:val="nil"/>
              <w:bottom w:val="single" w:sz="4" w:space="0" w:color="auto"/>
              <w:right w:val="single" w:sz="4" w:space="0" w:color="auto"/>
            </w:tcBorders>
            <w:shd w:val="clear" w:color="auto" w:fill="auto"/>
            <w:noWrap/>
            <w:vAlign w:val="center"/>
            <w:hideMark/>
          </w:tcPr>
          <w:p w14:paraId="2ECE880F"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27,4</w:t>
            </w:r>
          </w:p>
        </w:tc>
        <w:tc>
          <w:tcPr>
            <w:tcW w:w="985" w:type="dxa"/>
            <w:tcBorders>
              <w:top w:val="nil"/>
              <w:left w:val="nil"/>
              <w:bottom w:val="single" w:sz="4" w:space="0" w:color="auto"/>
              <w:right w:val="single" w:sz="4" w:space="0" w:color="auto"/>
            </w:tcBorders>
            <w:shd w:val="clear" w:color="auto" w:fill="auto"/>
            <w:vAlign w:val="center"/>
            <w:hideMark/>
          </w:tcPr>
          <w:p w14:paraId="44467A9F"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26,4</w:t>
            </w:r>
          </w:p>
        </w:tc>
        <w:tc>
          <w:tcPr>
            <w:tcW w:w="581" w:type="dxa"/>
            <w:tcBorders>
              <w:top w:val="nil"/>
              <w:left w:val="nil"/>
              <w:bottom w:val="single" w:sz="4" w:space="0" w:color="auto"/>
              <w:right w:val="single" w:sz="4" w:space="0" w:color="auto"/>
            </w:tcBorders>
            <w:shd w:val="clear" w:color="auto" w:fill="auto"/>
            <w:noWrap/>
            <w:vAlign w:val="center"/>
            <w:hideMark/>
          </w:tcPr>
          <w:p w14:paraId="5EDAF110"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26,1</w:t>
            </w:r>
          </w:p>
        </w:tc>
      </w:tr>
      <w:tr w:rsidR="002C660F" w:rsidRPr="002C660F" w14:paraId="01ED4A6E" w14:textId="77777777" w:rsidTr="002C660F">
        <w:trPr>
          <w:trHeight w:val="300"/>
        </w:trPr>
        <w:tc>
          <w:tcPr>
            <w:tcW w:w="3819" w:type="dxa"/>
            <w:tcBorders>
              <w:top w:val="nil"/>
              <w:left w:val="single" w:sz="4" w:space="0" w:color="auto"/>
              <w:bottom w:val="single" w:sz="4" w:space="0" w:color="auto"/>
              <w:right w:val="single" w:sz="4" w:space="0" w:color="auto"/>
            </w:tcBorders>
            <w:shd w:val="clear" w:color="000000" w:fill="D9D9D6"/>
            <w:noWrap/>
            <w:vAlign w:val="center"/>
            <w:hideMark/>
          </w:tcPr>
          <w:p w14:paraId="2305B000" w14:textId="77777777" w:rsidR="002C660F" w:rsidRPr="002C660F" w:rsidRDefault="002C660F" w:rsidP="002C660F">
            <w:pPr>
              <w:spacing w:after="0" w:line="240" w:lineRule="auto"/>
              <w:jc w:val="both"/>
              <w:rPr>
                <w:rFonts w:ascii="Segoe UI Light" w:eastAsia="Times New Roman" w:hAnsi="Segoe UI Light" w:cs="Segoe UI Light"/>
                <w:b/>
                <w:bCs/>
                <w:color w:val="000000"/>
                <w:sz w:val="18"/>
                <w:szCs w:val="18"/>
                <w:lang w:eastAsia="et-EE"/>
              </w:rPr>
            </w:pPr>
            <w:r w:rsidRPr="002C660F">
              <w:rPr>
                <w:rFonts w:ascii="Segoe UI Light" w:eastAsia="Times New Roman" w:hAnsi="Segoe UI Light" w:cs="Segoe UI Light"/>
                <w:b/>
                <w:bCs/>
                <w:color w:val="000000"/>
                <w:sz w:val="18"/>
                <w:szCs w:val="18"/>
                <w:lang w:eastAsia="et-EE"/>
              </w:rPr>
              <w:t>8. Euroala SKP kasv</w:t>
            </w:r>
          </w:p>
        </w:tc>
        <w:tc>
          <w:tcPr>
            <w:tcW w:w="1350" w:type="dxa"/>
            <w:tcBorders>
              <w:top w:val="nil"/>
              <w:left w:val="nil"/>
              <w:bottom w:val="single" w:sz="4" w:space="0" w:color="auto"/>
              <w:right w:val="single" w:sz="4" w:space="0" w:color="auto"/>
            </w:tcBorders>
            <w:shd w:val="clear" w:color="000000" w:fill="D9D9D6"/>
            <w:vAlign w:val="center"/>
            <w:hideMark/>
          </w:tcPr>
          <w:p w14:paraId="2C3DC246"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w:t>
            </w:r>
          </w:p>
        </w:tc>
        <w:tc>
          <w:tcPr>
            <w:tcW w:w="581" w:type="dxa"/>
            <w:tcBorders>
              <w:top w:val="nil"/>
              <w:left w:val="nil"/>
              <w:bottom w:val="single" w:sz="4" w:space="0" w:color="auto"/>
              <w:right w:val="single" w:sz="4" w:space="0" w:color="auto"/>
            </w:tcBorders>
            <w:shd w:val="clear" w:color="000000" w:fill="D9D9D6"/>
            <w:noWrap/>
            <w:vAlign w:val="center"/>
            <w:hideMark/>
          </w:tcPr>
          <w:p w14:paraId="5852BBD7"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3,4</w:t>
            </w:r>
          </w:p>
        </w:tc>
        <w:tc>
          <w:tcPr>
            <w:tcW w:w="581" w:type="dxa"/>
            <w:tcBorders>
              <w:top w:val="nil"/>
              <w:left w:val="nil"/>
              <w:bottom w:val="single" w:sz="4" w:space="0" w:color="auto"/>
              <w:right w:val="single" w:sz="4" w:space="0" w:color="auto"/>
            </w:tcBorders>
            <w:shd w:val="clear" w:color="000000" w:fill="D9D9D6"/>
            <w:noWrap/>
            <w:vAlign w:val="center"/>
            <w:hideMark/>
          </w:tcPr>
          <w:p w14:paraId="78FCFAB9"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0,4</w:t>
            </w:r>
          </w:p>
        </w:tc>
        <w:tc>
          <w:tcPr>
            <w:tcW w:w="581" w:type="dxa"/>
            <w:tcBorders>
              <w:top w:val="nil"/>
              <w:left w:val="nil"/>
              <w:bottom w:val="single" w:sz="4" w:space="0" w:color="auto"/>
              <w:right w:val="single" w:sz="4" w:space="0" w:color="auto"/>
            </w:tcBorders>
            <w:shd w:val="clear" w:color="000000" w:fill="D9D9D6"/>
            <w:noWrap/>
            <w:vAlign w:val="center"/>
            <w:hideMark/>
          </w:tcPr>
          <w:p w14:paraId="1C2B8053"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0,7</w:t>
            </w:r>
          </w:p>
        </w:tc>
        <w:tc>
          <w:tcPr>
            <w:tcW w:w="581" w:type="dxa"/>
            <w:tcBorders>
              <w:top w:val="nil"/>
              <w:left w:val="nil"/>
              <w:bottom w:val="single" w:sz="4" w:space="0" w:color="auto"/>
              <w:right w:val="single" w:sz="4" w:space="0" w:color="auto"/>
            </w:tcBorders>
            <w:shd w:val="clear" w:color="000000" w:fill="D9D9D6"/>
            <w:noWrap/>
            <w:vAlign w:val="center"/>
            <w:hideMark/>
          </w:tcPr>
          <w:p w14:paraId="4BE6A008"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1,5</w:t>
            </w:r>
          </w:p>
        </w:tc>
        <w:tc>
          <w:tcPr>
            <w:tcW w:w="581" w:type="dxa"/>
            <w:tcBorders>
              <w:top w:val="nil"/>
              <w:left w:val="nil"/>
              <w:bottom w:val="single" w:sz="4" w:space="0" w:color="auto"/>
              <w:right w:val="single" w:sz="4" w:space="0" w:color="auto"/>
            </w:tcBorders>
            <w:shd w:val="clear" w:color="000000" w:fill="D9D9D6"/>
            <w:noWrap/>
            <w:vAlign w:val="center"/>
            <w:hideMark/>
          </w:tcPr>
          <w:p w14:paraId="69962F5E"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1,6</w:t>
            </w:r>
          </w:p>
        </w:tc>
        <w:tc>
          <w:tcPr>
            <w:tcW w:w="985" w:type="dxa"/>
            <w:tcBorders>
              <w:top w:val="nil"/>
              <w:left w:val="nil"/>
              <w:bottom w:val="single" w:sz="4" w:space="0" w:color="auto"/>
              <w:right w:val="single" w:sz="4" w:space="0" w:color="auto"/>
            </w:tcBorders>
            <w:shd w:val="clear" w:color="000000" w:fill="D9D9D6"/>
            <w:vAlign w:val="center"/>
            <w:hideMark/>
          </w:tcPr>
          <w:p w14:paraId="41A40888"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1,5</w:t>
            </w:r>
          </w:p>
        </w:tc>
        <w:tc>
          <w:tcPr>
            <w:tcW w:w="581" w:type="dxa"/>
            <w:tcBorders>
              <w:top w:val="nil"/>
              <w:left w:val="nil"/>
              <w:bottom w:val="single" w:sz="4" w:space="0" w:color="auto"/>
              <w:right w:val="single" w:sz="4" w:space="0" w:color="auto"/>
            </w:tcBorders>
            <w:shd w:val="clear" w:color="000000" w:fill="D9D9D6"/>
            <w:noWrap/>
            <w:vAlign w:val="center"/>
            <w:hideMark/>
          </w:tcPr>
          <w:p w14:paraId="4CE82C03"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1,4</w:t>
            </w:r>
          </w:p>
        </w:tc>
      </w:tr>
      <w:tr w:rsidR="002C660F" w:rsidRPr="002C660F" w14:paraId="63F5AE1F" w14:textId="77777777" w:rsidTr="002C660F">
        <w:trPr>
          <w:trHeight w:val="300"/>
        </w:trPr>
        <w:tc>
          <w:tcPr>
            <w:tcW w:w="3819" w:type="dxa"/>
            <w:tcBorders>
              <w:top w:val="nil"/>
              <w:left w:val="single" w:sz="4" w:space="0" w:color="auto"/>
              <w:bottom w:val="single" w:sz="4" w:space="0" w:color="auto"/>
              <w:right w:val="single" w:sz="4" w:space="0" w:color="auto"/>
            </w:tcBorders>
            <w:shd w:val="clear" w:color="auto" w:fill="auto"/>
            <w:noWrap/>
            <w:vAlign w:val="center"/>
            <w:hideMark/>
          </w:tcPr>
          <w:p w14:paraId="074D218D" w14:textId="77777777" w:rsidR="002C660F" w:rsidRPr="002C660F" w:rsidRDefault="002C660F" w:rsidP="002C660F">
            <w:pPr>
              <w:spacing w:after="0" w:line="240" w:lineRule="auto"/>
              <w:jc w:val="both"/>
              <w:rPr>
                <w:rFonts w:ascii="Segoe UI Light" w:eastAsia="Times New Roman" w:hAnsi="Segoe UI Light" w:cs="Segoe UI Light"/>
                <w:b/>
                <w:bCs/>
                <w:color w:val="000000"/>
                <w:sz w:val="18"/>
                <w:szCs w:val="18"/>
                <w:lang w:eastAsia="et-EE"/>
              </w:rPr>
            </w:pPr>
            <w:r w:rsidRPr="002C660F">
              <w:rPr>
                <w:rFonts w:ascii="Segoe UI Light" w:eastAsia="Times New Roman" w:hAnsi="Segoe UI Light" w:cs="Segoe UI Light"/>
                <w:b/>
                <w:bCs/>
                <w:color w:val="000000"/>
                <w:sz w:val="18"/>
                <w:szCs w:val="18"/>
                <w:lang w:eastAsia="et-EE"/>
              </w:rPr>
              <w:t>9. Ekspordituru impordi kasv</w:t>
            </w:r>
          </w:p>
        </w:tc>
        <w:tc>
          <w:tcPr>
            <w:tcW w:w="1350" w:type="dxa"/>
            <w:tcBorders>
              <w:top w:val="nil"/>
              <w:left w:val="nil"/>
              <w:bottom w:val="single" w:sz="4" w:space="0" w:color="auto"/>
              <w:right w:val="single" w:sz="4" w:space="0" w:color="auto"/>
            </w:tcBorders>
            <w:shd w:val="clear" w:color="auto" w:fill="auto"/>
            <w:vAlign w:val="center"/>
            <w:hideMark/>
          </w:tcPr>
          <w:p w14:paraId="350CCB8F"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3,3</w:t>
            </w:r>
          </w:p>
        </w:tc>
        <w:tc>
          <w:tcPr>
            <w:tcW w:w="581" w:type="dxa"/>
            <w:tcBorders>
              <w:top w:val="nil"/>
              <w:left w:val="nil"/>
              <w:bottom w:val="single" w:sz="4" w:space="0" w:color="auto"/>
              <w:right w:val="single" w:sz="4" w:space="0" w:color="auto"/>
            </w:tcBorders>
            <w:shd w:val="clear" w:color="auto" w:fill="auto"/>
            <w:noWrap/>
            <w:vAlign w:val="center"/>
            <w:hideMark/>
          </w:tcPr>
          <w:p w14:paraId="46E9F34C"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7,1</w:t>
            </w:r>
          </w:p>
        </w:tc>
        <w:tc>
          <w:tcPr>
            <w:tcW w:w="581" w:type="dxa"/>
            <w:tcBorders>
              <w:top w:val="nil"/>
              <w:left w:val="nil"/>
              <w:bottom w:val="single" w:sz="4" w:space="0" w:color="auto"/>
              <w:right w:val="single" w:sz="4" w:space="0" w:color="auto"/>
            </w:tcBorders>
            <w:shd w:val="clear" w:color="auto" w:fill="auto"/>
            <w:noWrap/>
            <w:vAlign w:val="center"/>
            <w:hideMark/>
          </w:tcPr>
          <w:p w14:paraId="18278AB5"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-1,8</w:t>
            </w:r>
          </w:p>
        </w:tc>
        <w:tc>
          <w:tcPr>
            <w:tcW w:w="581" w:type="dxa"/>
            <w:tcBorders>
              <w:top w:val="nil"/>
              <w:left w:val="nil"/>
              <w:bottom w:val="single" w:sz="4" w:space="0" w:color="auto"/>
              <w:right w:val="single" w:sz="4" w:space="0" w:color="auto"/>
            </w:tcBorders>
            <w:shd w:val="clear" w:color="auto" w:fill="auto"/>
            <w:noWrap/>
            <w:vAlign w:val="center"/>
            <w:hideMark/>
          </w:tcPr>
          <w:p w14:paraId="400106B0"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0,6</w:t>
            </w:r>
          </w:p>
        </w:tc>
        <w:tc>
          <w:tcPr>
            <w:tcW w:w="581" w:type="dxa"/>
            <w:tcBorders>
              <w:top w:val="nil"/>
              <w:left w:val="nil"/>
              <w:bottom w:val="single" w:sz="4" w:space="0" w:color="auto"/>
              <w:right w:val="single" w:sz="4" w:space="0" w:color="auto"/>
            </w:tcBorders>
            <w:shd w:val="clear" w:color="auto" w:fill="auto"/>
            <w:noWrap/>
            <w:vAlign w:val="center"/>
            <w:hideMark/>
          </w:tcPr>
          <w:p w14:paraId="026A6BFA"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2,8</w:t>
            </w:r>
          </w:p>
        </w:tc>
        <w:tc>
          <w:tcPr>
            <w:tcW w:w="581" w:type="dxa"/>
            <w:tcBorders>
              <w:top w:val="nil"/>
              <w:left w:val="nil"/>
              <w:bottom w:val="single" w:sz="4" w:space="0" w:color="auto"/>
              <w:right w:val="single" w:sz="4" w:space="0" w:color="auto"/>
            </w:tcBorders>
            <w:shd w:val="clear" w:color="auto" w:fill="auto"/>
            <w:noWrap/>
            <w:vAlign w:val="center"/>
            <w:hideMark/>
          </w:tcPr>
          <w:p w14:paraId="47BD07B9"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3</w:t>
            </w:r>
          </w:p>
        </w:tc>
        <w:tc>
          <w:tcPr>
            <w:tcW w:w="985" w:type="dxa"/>
            <w:tcBorders>
              <w:top w:val="nil"/>
              <w:left w:val="nil"/>
              <w:bottom w:val="single" w:sz="4" w:space="0" w:color="auto"/>
              <w:right w:val="single" w:sz="4" w:space="0" w:color="auto"/>
            </w:tcBorders>
            <w:shd w:val="clear" w:color="auto" w:fill="auto"/>
            <w:vAlign w:val="center"/>
            <w:hideMark/>
          </w:tcPr>
          <w:p w14:paraId="39DE1D00"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2,9</w:t>
            </w:r>
          </w:p>
        </w:tc>
        <w:tc>
          <w:tcPr>
            <w:tcW w:w="581" w:type="dxa"/>
            <w:tcBorders>
              <w:top w:val="nil"/>
              <w:left w:val="nil"/>
              <w:bottom w:val="single" w:sz="4" w:space="0" w:color="auto"/>
              <w:right w:val="single" w:sz="4" w:space="0" w:color="auto"/>
            </w:tcBorders>
            <w:shd w:val="clear" w:color="auto" w:fill="auto"/>
            <w:noWrap/>
            <w:vAlign w:val="center"/>
            <w:hideMark/>
          </w:tcPr>
          <w:p w14:paraId="190B5CD9" w14:textId="77777777" w:rsidR="002C660F" w:rsidRPr="002C660F" w:rsidRDefault="002C660F" w:rsidP="002C660F">
            <w:pPr>
              <w:spacing w:after="0" w:line="240" w:lineRule="auto"/>
              <w:jc w:val="right"/>
              <w:rPr>
                <w:rFonts w:ascii="Segoe UI Light" w:eastAsia="Times New Roman" w:hAnsi="Segoe UI Light" w:cs="Segoe UI Light"/>
                <w:color w:val="000000"/>
                <w:sz w:val="18"/>
                <w:szCs w:val="18"/>
                <w:lang w:eastAsia="et-EE"/>
              </w:rPr>
            </w:pPr>
            <w:r w:rsidRPr="002C660F">
              <w:rPr>
                <w:rFonts w:ascii="Segoe UI Light" w:eastAsia="Times New Roman" w:hAnsi="Segoe UI Light" w:cs="Segoe UI Light"/>
                <w:color w:val="000000"/>
                <w:sz w:val="18"/>
                <w:szCs w:val="18"/>
                <w:lang w:eastAsia="et-EE"/>
              </w:rPr>
              <w:t>2,9</w:t>
            </w:r>
            <w:bookmarkEnd w:id="10"/>
          </w:p>
        </w:tc>
      </w:tr>
    </w:tbl>
    <w:p w14:paraId="58BAA83F" w14:textId="77777777" w:rsidR="00543F4A" w:rsidRDefault="00543F4A" w:rsidP="00FD1DCC">
      <w:pPr>
        <w:pStyle w:val="Default"/>
        <w:rPr>
          <w:color w:val="auto"/>
        </w:rPr>
      </w:pPr>
    </w:p>
    <w:p w14:paraId="68FF4B28" w14:textId="77777777" w:rsidR="007258CF" w:rsidRPr="007258CF" w:rsidRDefault="007258CF" w:rsidP="007258CF">
      <w:pPr>
        <w:spacing w:after="0" w:line="240" w:lineRule="auto"/>
        <w:rPr>
          <w:rFonts w:ascii="Segoe UI" w:eastAsia="Times New Roman" w:hAnsi="Segoe UI" w:cs="Segoe UI"/>
          <w:i/>
          <w:iCs/>
          <w:color w:val="5A5A5A"/>
          <w:sz w:val="20"/>
          <w:szCs w:val="20"/>
          <w:lang w:eastAsia="et-EE"/>
        </w:rPr>
      </w:pPr>
      <w:r w:rsidRPr="007258CF">
        <w:rPr>
          <w:rFonts w:ascii="Segoe UI" w:eastAsia="Times New Roman" w:hAnsi="Segoe UI" w:cs="Segoe UI"/>
          <w:i/>
          <w:iCs/>
          <w:color w:val="5A5A5A"/>
          <w:sz w:val="20"/>
          <w:szCs w:val="20"/>
          <w:lang w:eastAsia="et-EE"/>
        </w:rPr>
        <w:t xml:space="preserve">Allikad: </w:t>
      </w:r>
      <w:proofErr w:type="spellStart"/>
      <w:r w:rsidRPr="007258CF">
        <w:rPr>
          <w:rFonts w:ascii="Segoe UI" w:eastAsia="Times New Roman" w:hAnsi="Segoe UI" w:cs="Segoe UI"/>
          <w:i/>
          <w:iCs/>
          <w:color w:val="5A5A5A"/>
          <w:sz w:val="20"/>
          <w:szCs w:val="20"/>
          <w:lang w:eastAsia="et-EE"/>
        </w:rPr>
        <w:t>Eurostat</w:t>
      </w:r>
      <w:proofErr w:type="spellEnd"/>
      <w:r w:rsidRPr="007258CF">
        <w:rPr>
          <w:rFonts w:ascii="Segoe UI" w:eastAsia="Times New Roman" w:hAnsi="Segoe UI" w:cs="Segoe UI"/>
          <w:i/>
          <w:iCs/>
          <w:color w:val="5A5A5A"/>
          <w:sz w:val="20"/>
          <w:szCs w:val="20"/>
          <w:lang w:eastAsia="et-EE"/>
        </w:rPr>
        <w:t xml:space="preserve">, Eesti Pank, Euroopa Keskpank (ECB), IMF, </w:t>
      </w:r>
      <w:proofErr w:type="spellStart"/>
      <w:r w:rsidRPr="007258CF">
        <w:rPr>
          <w:rFonts w:ascii="Segoe UI" w:eastAsia="Times New Roman" w:hAnsi="Segoe UI" w:cs="Segoe UI"/>
          <w:i/>
          <w:iCs/>
          <w:color w:val="5A5A5A"/>
          <w:sz w:val="20"/>
          <w:szCs w:val="20"/>
          <w:lang w:eastAsia="et-EE"/>
        </w:rPr>
        <w:t>Consensus</w:t>
      </w:r>
      <w:proofErr w:type="spellEnd"/>
      <w:r w:rsidRPr="007258CF">
        <w:rPr>
          <w:rFonts w:ascii="Segoe UI" w:eastAsia="Times New Roman" w:hAnsi="Segoe UI" w:cs="Segoe UI"/>
          <w:i/>
          <w:iCs/>
          <w:color w:val="5A5A5A"/>
          <w:sz w:val="20"/>
          <w:szCs w:val="20"/>
          <w:lang w:eastAsia="et-EE"/>
        </w:rPr>
        <w:t xml:space="preserve"> </w:t>
      </w:r>
      <w:proofErr w:type="spellStart"/>
      <w:r w:rsidRPr="007258CF">
        <w:rPr>
          <w:rFonts w:ascii="Segoe UI" w:eastAsia="Times New Roman" w:hAnsi="Segoe UI" w:cs="Segoe UI"/>
          <w:i/>
          <w:iCs/>
          <w:color w:val="5A5A5A"/>
          <w:sz w:val="20"/>
          <w:szCs w:val="20"/>
          <w:lang w:eastAsia="et-EE"/>
        </w:rPr>
        <w:t>Economics</w:t>
      </w:r>
      <w:proofErr w:type="spellEnd"/>
      <w:r w:rsidRPr="007258CF">
        <w:rPr>
          <w:rFonts w:ascii="Segoe UI" w:eastAsia="Times New Roman" w:hAnsi="Segoe UI" w:cs="Segoe UI"/>
          <w:i/>
          <w:iCs/>
          <w:color w:val="5A5A5A"/>
          <w:sz w:val="20"/>
          <w:szCs w:val="20"/>
          <w:lang w:eastAsia="et-EE"/>
        </w:rPr>
        <w:t xml:space="preserve"> (CF), Euroopa Komisjon (COM), </w:t>
      </w:r>
      <w:proofErr w:type="spellStart"/>
      <w:r w:rsidRPr="007258CF">
        <w:rPr>
          <w:rFonts w:ascii="Segoe UI" w:eastAsia="Times New Roman" w:hAnsi="Segoe UI" w:cs="Segoe UI"/>
          <w:i/>
          <w:iCs/>
          <w:color w:val="5A5A5A"/>
          <w:sz w:val="20"/>
          <w:szCs w:val="20"/>
          <w:lang w:eastAsia="et-EE"/>
        </w:rPr>
        <w:t>Chatham</w:t>
      </w:r>
      <w:proofErr w:type="spellEnd"/>
      <w:r w:rsidRPr="007258CF">
        <w:rPr>
          <w:rFonts w:ascii="Segoe UI" w:eastAsia="Times New Roman" w:hAnsi="Segoe UI" w:cs="Segoe UI"/>
          <w:i/>
          <w:iCs/>
          <w:color w:val="5A5A5A"/>
          <w:sz w:val="20"/>
          <w:szCs w:val="20"/>
          <w:lang w:eastAsia="et-EE"/>
        </w:rPr>
        <w:t xml:space="preserve"> </w:t>
      </w:r>
      <w:proofErr w:type="spellStart"/>
      <w:r w:rsidRPr="007258CF">
        <w:rPr>
          <w:rFonts w:ascii="Segoe UI" w:eastAsia="Times New Roman" w:hAnsi="Segoe UI" w:cs="Segoe UI"/>
          <w:i/>
          <w:iCs/>
          <w:color w:val="5A5A5A"/>
          <w:sz w:val="20"/>
          <w:szCs w:val="20"/>
          <w:lang w:eastAsia="et-EE"/>
        </w:rPr>
        <w:t>Financial</w:t>
      </w:r>
      <w:proofErr w:type="spellEnd"/>
      <w:r w:rsidRPr="007258CF">
        <w:rPr>
          <w:rFonts w:ascii="Segoe UI" w:eastAsia="Times New Roman" w:hAnsi="Segoe UI" w:cs="Segoe UI"/>
          <w:i/>
          <w:iCs/>
          <w:color w:val="5A5A5A"/>
          <w:sz w:val="20"/>
          <w:szCs w:val="20"/>
          <w:lang w:eastAsia="et-EE"/>
        </w:rPr>
        <w:t xml:space="preserve">, </w:t>
      </w:r>
      <w:proofErr w:type="spellStart"/>
      <w:r w:rsidRPr="007258CF">
        <w:rPr>
          <w:rFonts w:ascii="Segoe UI" w:eastAsia="Times New Roman" w:hAnsi="Segoe UI" w:cs="Segoe UI"/>
          <w:i/>
          <w:iCs/>
          <w:color w:val="5A5A5A"/>
          <w:sz w:val="20"/>
          <w:szCs w:val="20"/>
          <w:lang w:eastAsia="et-EE"/>
        </w:rPr>
        <w:t>Bloomberg</w:t>
      </w:r>
      <w:proofErr w:type="spellEnd"/>
      <w:r w:rsidRPr="007258CF">
        <w:rPr>
          <w:rFonts w:ascii="Segoe UI" w:eastAsia="Times New Roman" w:hAnsi="Segoe UI" w:cs="Segoe UI"/>
          <w:i/>
          <w:iCs/>
          <w:color w:val="5A5A5A"/>
          <w:sz w:val="20"/>
          <w:szCs w:val="20"/>
          <w:lang w:eastAsia="et-EE"/>
        </w:rPr>
        <w:t>.</w:t>
      </w:r>
    </w:p>
    <w:p w14:paraId="11C40D76" w14:textId="77777777" w:rsidR="007258CF" w:rsidRDefault="007258CF" w:rsidP="00FD1DCC">
      <w:pPr>
        <w:pStyle w:val="Default"/>
        <w:rPr>
          <w:color w:val="auto"/>
        </w:rPr>
      </w:pPr>
    </w:p>
    <w:p w14:paraId="565EF282" w14:textId="5B2FBE7B" w:rsidR="00FD1DCC" w:rsidRDefault="00BA22F4" w:rsidP="0057729D">
      <w:pPr>
        <w:pStyle w:val="Default"/>
        <w:jc w:val="both"/>
        <w:rPr>
          <w:color w:val="auto"/>
        </w:rPr>
      </w:pPr>
      <w:r w:rsidRPr="00BA22F4">
        <w:rPr>
          <w:color w:val="auto"/>
        </w:rPr>
        <w:t>Riigieelarve tulude maht suureneb tänavu eelmise aastaga võrreldes 9,</w:t>
      </w:r>
      <w:r w:rsidR="00C2736E">
        <w:rPr>
          <w:color w:val="auto"/>
        </w:rPr>
        <w:t>8</w:t>
      </w:r>
      <w:r w:rsidRPr="00BA22F4">
        <w:rPr>
          <w:color w:val="auto"/>
        </w:rPr>
        <w:t xml:space="preserve"> protsenti</w:t>
      </w:r>
      <w:r w:rsidR="00567EDF">
        <w:rPr>
          <w:color w:val="auto"/>
        </w:rPr>
        <w:t>, 2024</w:t>
      </w:r>
      <w:r w:rsidR="00981A4F">
        <w:rPr>
          <w:color w:val="auto"/>
        </w:rPr>
        <w:t>.</w:t>
      </w:r>
      <w:r w:rsidR="00A54060">
        <w:rPr>
          <w:color w:val="auto"/>
        </w:rPr>
        <w:t xml:space="preserve"> </w:t>
      </w:r>
      <w:r w:rsidR="00981A4F">
        <w:rPr>
          <w:color w:val="auto"/>
        </w:rPr>
        <w:t xml:space="preserve">aastat </w:t>
      </w:r>
      <w:r w:rsidR="00567EDF">
        <w:rPr>
          <w:color w:val="auto"/>
        </w:rPr>
        <w:t>võrreldes 2023.</w:t>
      </w:r>
      <w:r w:rsidR="00A54060">
        <w:rPr>
          <w:color w:val="auto"/>
        </w:rPr>
        <w:t xml:space="preserve"> </w:t>
      </w:r>
      <w:r w:rsidR="00567EDF">
        <w:rPr>
          <w:color w:val="auto"/>
        </w:rPr>
        <w:t xml:space="preserve">aastaga </w:t>
      </w:r>
      <w:r w:rsidR="00E12F1B">
        <w:rPr>
          <w:color w:val="auto"/>
        </w:rPr>
        <w:t>7</w:t>
      </w:r>
      <w:r w:rsidR="00567EDF">
        <w:rPr>
          <w:color w:val="auto"/>
        </w:rPr>
        <w:t>,</w:t>
      </w:r>
      <w:r w:rsidR="00E12F1B">
        <w:rPr>
          <w:color w:val="auto"/>
        </w:rPr>
        <w:t>1</w:t>
      </w:r>
      <w:r w:rsidR="00567EDF">
        <w:rPr>
          <w:color w:val="auto"/>
        </w:rPr>
        <w:t>%, 2025</w:t>
      </w:r>
      <w:r w:rsidR="00981A4F">
        <w:rPr>
          <w:color w:val="auto"/>
        </w:rPr>
        <w:t xml:space="preserve">. </w:t>
      </w:r>
      <w:r w:rsidR="00567EDF">
        <w:rPr>
          <w:color w:val="auto"/>
        </w:rPr>
        <w:t>a</w:t>
      </w:r>
      <w:r w:rsidR="00981A4F">
        <w:rPr>
          <w:color w:val="auto"/>
        </w:rPr>
        <w:t>astat</w:t>
      </w:r>
      <w:r w:rsidR="00567EDF">
        <w:rPr>
          <w:color w:val="auto"/>
        </w:rPr>
        <w:t xml:space="preserve"> võrreldes 2024</w:t>
      </w:r>
      <w:r w:rsidR="00981A4F">
        <w:rPr>
          <w:color w:val="auto"/>
        </w:rPr>
        <w:t xml:space="preserve">. </w:t>
      </w:r>
      <w:r w:rsidR="00567EDF">
        <w:rPr>
          <w:color w:val="auto"/>
        </w:rPr>
        <w:t xml:space="preserve">aastaga </w:t>
      </w:r>
      <w:r w:rsidR="00310029">
        <w:rPr>
          <w:color w:val="auto"/>
        </w:rPr>
        <w:t>2,3</w:t>
      </w:r>
      <w:r w:rsidR="00CF6451">
        <w:rPr>
          <w:color w:val="auto"/>
        </w:rPr>
        <w:t>%</w:t>
      </w:r>
      <w:r w:rsidR="00C365A0">
        <w:rPr>
          <w:color w:val="auto"/>
        </w:rPr>
        <w:t xml:space="preserve">. Kui võrrelda </w:t>
      </w:r>
      <w:r w:rsidR="00CF6451">
        <w:rPr>
          <w:color w:val="auto"/>
        </w:rPr>
        <w:t>2026</w:t>
      </w:r>
      <w:r w:rsidR="00A54060">
        <w:rPr>
          <w:color w:val="auto"/>
        </w:rPr>
        <w:t xml:space="preserve"> </w:t>
      </w:r>
      <w:r w:rsidR="00CF6451">
        <w:rPr>
          <w:color w:val="auto"/>
        </w:rPr>
        <w:t>a</w:t>
      </w:r>
      <w:r w:rsidR="00A54060">
        <w:rPr>
          <w:color w:val="auto"/>
        </w:rPr>
        <w:t>astat</w:t>
      </w:r>
      <w:r w:rsidR="00CF6451">
        <w:rPr>
          <w:color w:val="auto"/>
        </w:rPr>
        <w:t xml:space="preserve"> 2025</w:t>
      </w:r>
      <w:r w:rsidR="00A54060">
        <w:rPr>
          <w:color w:val="auto"/>
        </w:rPr>
        <w:t xml:space="preserve">. </w:t>
      </w:r>
      <w:r w:rsidR="00CF6451">
        <w:rPr>
          <w:color w:val="auto"/>
        </w:rPr>
        <w:t>aastaga</w:t>
      </w:r>
      <w:r w:rsidR="00036F3F">
        <w:rPr>
          <w:color w:val="auto"/>
        </w:rPr>
        <w:t xml:space="preserve">, siis on prognoositav kasv </w:t>
      </w:r>
      <w:r w:rsidR="00310029">
        <w:rPr>
          <w:color w:val="auto"/>
        </w:rPr>
        <w:t>5</w:t>
      </w:r>
      <w:r w:rsidR="00CF6451">
        <w:rPr>
          <w:color w:val="auto"/>
        </w:rPr>
        <w:t>,0% ja 2027</w:t>
      </w:r>
      <w:r w:rsidR="005F2FC1">
        <w:rPr>
          <w:color w:val="auto"/>
        </w:rPr>
        <w:t>. aastat</w:t>
      </w:r>
      <w:r w:rsidR="00CF6451">
        <w:rPr>
          <w:color w:val="auto"/>
        </w:rPr>
        <w:t xml:space="preserve"> võrreldes 2026</w:t>
      </w:r>
      <w:r w:rsidR="005F2FC1">
        <w:rPr>
          <w:color w:val="auto"/>
        </w:rPr>
        <w:t xml:space="preserve">. </w:t>
      </w:r>
      <w:r w:rsidR="00CF6451">
        <w:rPr>
          <w:color w:val="auto"/>
        </w:rPr>
        <w:t xml:space="preserve">aastaga </w:t>
      </w:r>
      <w:r w:rsidR="00310029">
        <w:rPr>
          <w:color w:val="auto"/>
        </w:rPr>
        <w:t>0,5</w:t>
      </w:r>
      <w:r w:rsidR="00417405">
        <w:rPr>
          <w:color w:val="auto"/>
        </w:rPr>
        <w:t>%.</w:t>
      </w:r>
      <w:r w:rsidR="001A4380">
        <w:rPr>
          <w:color w:val="auto"/>
        </w:rPr>
        <w:t xml:space="preserve"> </w:t>
      </w:r>
    </w:p>
    <w:p w14:paraId="24EB1351" w14:textId="77777777" w:rsidR="0057729D" w:rsidRDefault="0057729D" w:rsidP="0057729D">
      <w:pPr>
        <w:pStyle w:val="Default"/>
        <w:jc w:val="both"/>
        <w:rPr>
          <w:color w:val="auto"/>
        </w:rPr>
      </w:pPr>
    </w:p>
    <w:p w14:paraId="544CF059" w14:textId="0E3F73A0" w:rsidR="00BA22F4" w:rsidRDefault="001A4380" w:rsidP="00B932EF">
      <w:pPr>
        <w:pStyle w:val="Default"/>
        <w:jc w:val="both"/>
        <w:rPr>
          <w:color w:val="auto"/>
        </w:rPr>
      </w:pPr>
      <w:r w:rsidRPr="001A4380">
        <w:rPr>
          <w:color w:val="auto"/>
        </w:rPr>
        <w:t xml:space="preserve">Alates 2024.aastast </w:t>
      </w:r>
      <w:r w:rsidR="00775978">
        <w:rPr>
          <w:color w:val="auto"/>
        </w:rPr>
        <w:t>muudab</w:t>
      </w:r>
      <w:r w:rsidRPr="001A4380">
        <w:rPr>
          <w:color w:val="auto"/>
        </w:rPr>
        <w:t xml:space="preserve"> kohalike omavalitsuste </w:t>
      </w:r>
      <w:r w:rsidR="00D40A06">
        <w:rPr>
          <w:color w:val="auto"/>
        </w:rPr>
        <w:t xml:space="preserve">(KOV) </w:t>
      </w:r>
      <w:r w:rsidRPr="001A4380">
        <w:rPr>
          <w:color w:val="auto"/>
        </w:rPr>
        <w:t xml:space="preserve">tulumaksu laekumist </w:t>
      </w:r>
      <w:proofErr w:type="spellStart"/>
      <w:r w:rsidRPr="001A4380">
        <w:rPr>
          <w:color w:val="auto"/>
        </w:rPr>
        <w:t>üldhoolduse</w:t>
      </w:r>
      <w:proofErr w:type="spellEnd"/>
      <w:r w:rsidRPr="001A4380">
        <w:rPr>
          <w:color w:val="auto"/>
        </w:rPr>
        <w:t xml:space="preserve"> rahastamise reform, mistõttu KOV</w:t>
      </w:r>
      <w:r w:rsidR="00D40A06">
        <w:rPr>
          <w:color w:val="auto"/>
        </w:rPr>
        <w:t xml:space="preserve"> </w:t>
      </w:r>
      <w:r w:rsidRPr="001A4380">
        <w:rPr>
          <w:color w:val="auto"/>
        </w:rPr>
        <w:t>id saavad alates 2024.aastast</w:t>
      </w:r>
      <w:r w:rsidR="002B62D5">
        <w:rPr>
          <w:color w:val="auto"/>
        </w:rPr>
        <w:t xml:space="preserve"> </w:t>
      </w:r>
      <w:r w:rsidR="006F23A0">
        <w:rPr>
          <w:color w:val="auto"/>
        </w:rPr>
        <w:t>2,5</w:t>
      </w:r>
      <w:r w:rsidR="002B62D5" w:rsidRPr="002B62D5">
        <w:rPr>
          <w:color w:val="auto"/>
        </w:rPr>
        <w:t>% residendist füüsilise isiku riiklikust pensionist</w:t>
      </w:r>
      <w:r w:rsidR="00BC07CC">
        <w:rPr>
          <w:color w:val="auto"/>
        </w:rPr>
        <w:t>.</w:t>
      </w:r>
      <w:r w:rsidR="002B62D5" w:rsidRPr="002B62D5">
        <w:rPr>
          <w:color w:val="auto"/>
        </w:rPr>
        <w:t xml:space="preserve"> </w:t>
      </w:r>
      <w:r w:rsidR="00B225BF">
        <w:rPr>
          <w:color w:val="auto"/>
        </w:rPr>
        <w:t>S</w:t>
      </w:r>
      <w:r w:rsidR="002B62D5" w:rsidRPr="002B62D5">
        <w:rPr>
          <w:color w:val="auto"/>
        </w:rPr>
        <w:t>am</w:t>
      </w:r>
      <w:r w:rsidR="00B225BF">
        <w:rPr>
          <w:color w:val="auto"/>
        </w:rPr>
        <w:t xml:space="preserve">as vähendati </w:t>
      </w:r>
      <w:r w:rsidR="002B62D5" w:rsidRPr="002B62D5">
        <w:rPr>
          <w:color w:val="auto"/>
        </w:rPr>
        <w:t xml:space="preserve"> KOV</w:t>
      </w:r>
      <w:r w:rsidR="0087496F">
        <w:rPr>
          <w:color w:val="auto"/>
        </w:rPr>
        <w:t xml:space="preserve"> </w:t>
      </w:r>
      <w:proofErr w:type="spellStart"/>
      <w:r w:rsidR="002B62D5" w:rsidRPr="002B62D5">
        <w:rPr>
          <w:color w:val="auto"/>
        </w:rPr>
        <w:t>ide</w:t>
      </w:r>
      <w:proofErr w:type="spellEnd"/>
      <w:r w:rsidR="002B62D5" w:rsidRPr="002B62D5">
        <w:rPr>
          <w:color w:val="auto"/>
        </w:rPr>
        <w:t xml:space="preserve"> </w:t>
      </w:r>
      <w:r w:rsidR="007828A2" w:rsidRPr="007828A2">
        <w:rPr>
          <w:color w:val="auto"/>
        </w:rPr>
        <w:t>eraldise määra</w:t>
      </w:r>
      <w:r w:rsidR="00183546">
        <w:rPr>
          <w:color w:val="auto"/>
        </w:rPr>
        <w:t xml:space="preserve"> </w:t>
      </w:r>
      <w:r w:rsidR="007828A2" w:rsidRPr="007828A2">
        <w:rPr>
          <w:color w:val="auto"/>
        </w:rPr>
        <w:t xml:space="preserve">11,96%lt 11,89%le. </w:t>
      </w:r>
      <w:r w:rsidR="00F275CB" w:rsidRPr="007D7943">
        <w:rPr>
          <w:color w:val="auto"/>
        </w:rPr>
        <w:t>29.07.2024</w:t>
      </w:r>
      <w:r w:rsidR="0087496F">
        <w:rPr>
          <w:color w:val="auto"/>
        </w:rPr>
        <w:t>.</w:t>
      </w:r>
      <w:r w:rsidR="00F275CB" w:rsidRPr="007D7943">
        <w:rPr>
          <w:color w:val="auto"/>
        </w:rPr>
        <w:t>a võttis Riigikogu vastu Tulumaksuseaduse muudatused</w:t>
      </w:r>
      <w:r w:rsidR="0081724B" w:rsidRPr="007D7943">
        <w:rPr>
          <w:color w:val="auto"/>
        </w:rPr>
        <w:t xml:space="preserve">, mis on seotud KOV </w:t>
      </w:r>
      <w:r w:rsidR="0087496F">
        <w:rPr>
          <w:color w:val="auto"/>
        </w:rPr>
        <w:t xml:space="preserve">i </w:t>
      </w:r>
      <w:r w:rsidR="0081724B" w:rsidRPr="007D7943">
        <w:rPr>
          <w:color w:val="auto"/>
        </w:rPr>
        <w:t>tulubaasi muudatustega järgnevalt:</w:t>
      </w:r>
    </w:p>
    <w:p w14:paraId="107E942F" w14:textId="22065500" w:rsidR="001E0667" w:rsidRDefault="00551EE5" w:rsidP="00B932EF">
      <w:pPr>
        <w:pStyle w:val="Default"/>
        <w:jc w:val="both"/>
        <w:rPr>
          <w:color w:val="auto"/>
        </w:rPr>
      </w:pPr>
      <w:r w:rsidRPr="00551EE5">
        <w:rPr>
          <w:noProof/>
        </w:rPr>
        <w:drawing>
          <wp:inline distT="0" distB="0" distL="0" distR="0" wp14:anchorId="54758C0C" wp14:editId="044906ED">
            <wp:extent cx="5705475" cy="870969"/>
            <wp:effectExtent l="0" t="0" r="0" b="5715"/>
            <wp:docPr id="1776346444"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105" cy="879614"/>
                    </a:xfrm>
                    <a:prstGeom prst="rect">
                      <a:avLst/>
                    </a:prstGeom>
                    <a:noFill/>
                    <a:ln>
                      <a:noFill/>
                    </a:ln>
                  </pic:spPr>
                </pic:pic>
              </a:graphicData>
            </a:graphic>
          </wp:inline>
        </w:drawing>
      </w:r>
    </w:p>
    <w:p w14:paraId="4C6D0B0F" w14:textId="77777777" w:rsidR="00BA22F4" w:rsidRDefault="00BA22F4" w:rsidP="00FD1DCC">
      <w:pPr>
        <w:pStyle w:val="Default"/>
        <w:rPr>
          <w:color w:val="auto"/>
        </w:rPr>
      </w:pPr>
    </w:p>
    <w:p w14:paraId="65291F00" w14:textId="77777777" w:rsidR="00BA22F4" w:rsidRPr="00001F25" w:rsidRDefault="00BA22F4" w:rsidP="00FD1DCC">
      <w:pPr>
        <w:pStyle w:val="Default"/>
        <w:rPr>
          <w:b/>
          <w:bCs/>
        </w:rPr>
      </w:pPr>
    </w:p>
    <w:p w14:paraId="52C55075" w14:textId="0D33E2E8" w:rsidR="00FD1DCC" w:rsidRPr="00B21F07" w:rsidRDefault="008C2133" w:rsidP="00992BE1">
      <w:pPr>
        <w:pStyle w:val="Pealkiri2"/>
        <w:numPr>
          <w:ilvl w:val="0"/>
          <w:numId w:val="16"/>
        </w:numPr>
        <w:rPr>
          <w:b/>
          <w:bCs/>
        </w:rPr>
      </w:pPr>
      <w:bookmarkStart w:id="11" w:name="_Toc173767786"/>
      <w:r w:rsidRPr="00B21F07">
        <w:rPr>
          <w:b/>
          <w:bCs/>
          <w:sz w:val="32"/>
          <w:szCs w:val="32"/>
        </w:rPr>
        <w:t>Tartu valla sotsiaalmajanduslik olukord</w:t>
      </w:r>
      <w:bookmarkEnd w:id="11"/>
      <w:r w:rsidR="00FD1DCC" w:rsidRPr="00B21F07">
        <w:rPr>
          <w:b/>
          <w:bCs/>
          <w:sz w:val="32"/>
          <w:szCs w:val="32"/>
        </w:rPr>
        <w:t xml:space="preserve"> </w:t>
      </w:r>
    </w:p>
    <w:p w14:paraId="7CC921C3" w14:textId="77777777" w:rsidR="00D56C67" w:rsidRDefault="00D56C67" w:rsidP="00D56C67">
      <w:pPr>
        <w:pStyle w:val="Default"/>
        <w:ind w:left="720"/>
        <w:rPr>
          <w:b/>
          <w:bCs/>
          <w:sz w:val="32"/>
          <w:szCs w:val="32"/>
        </w:rPr>
      </w:pPr>
    </w:p>
    <w:p w14:paraId="0EC492F3" w14:textId="4B6C7B2B" w:rsidR="00D56C67" w:rsidRDefault="00D56C67" w:rsidP="0057729D">
      <w:pPr>
        <w:pStyle w:val="Default"/>
        <w:jc w:val="both"/>
      </w:pPr>
      <w:r w:rsidRPr="00D56C67">
        <w:t>Tartu vald asub Tartumaa põhjaosas. Valla pindala on üle 700 km2. Seisuga 01.01.202</w:t>
      </w:r>
      <w:r w:rsidR="001266A1">
        <w:t>4</w:t>
      </w:r>
      <w:r w:rsidRPr="00D56C67">
        <w:t xml:space="preserve"> oli valla elanike arv 1</w:t>
      </w:r>
      <w:r w:rsidR="001266A1">
        <w:t>3</w:t>
      </w:r>
      <w:r w:rsidR="00182976">
        <w:t> </w:t>
      </w:r>
      <w:r w:rsidR="00343984">
        <w:t>226</w:t>
      </w:r>
      <w:r w:rsidR="003C1BA3">
        <w:t>.</w:t>
      </w:r>
      <w:r w:rsidR="00ED6D83">
        <w:t xml:space="preserve"> </w:t>
      </w:r>
      <w:r w:rsidRPr="00D56C67">
        <w:t xml:space="preserve">Tartu vallas on </w:t>
      </w:r>
      <w:r w:rsidR="00360D8D">
        <w:t>1 alev</w:t>
      </w:r>
      <w:r w:rsidR="007C54D6">
        <w:t>-</w:t>
      </w:r>
      <w:r w:rsidR="00360D8D">
        <w:t xml:space="preserve">Raadi, </w:t>
      </w:r>
      <w:r w:rsidRPr="00D56C67">
        <w:t xml:space="preserve">6 alevikku - Kõrveküla, Lähte, Tabivere, Vahi, </w:t>
      </w:r>
      <w:proofErr w:type="spellStart"/>
      <w:r w:rsidRPr="00D56C67">
        <w:t>Vasula</w:t>
      </w:r>
      <w:proofErr w:type="spellEnd"/>
      <w:r w:rsidRPr="00D56C67">
        <w:t>, Äksi ning 7</w:t>
      </w:r>
      <w:r w:rsidR="009B60D2">
        <w:t>0</w:t>
      </w:r>
      <w:r w:rsidRPr="00D56C67">
        <w:t xml:space="preserve"> küla.</w:t>
      </w:r>
    </w:p>
    <w:p w14:paraId="4CB32374" w14:textId="77777777" w:rsidR="0044418E" w:rsidRPr="0044418E" w:rsidRDefault="0044418E" w:rsidP="0057729D">
      <w:pPr>
        <w:pStyle w:val="Default"/>
        <w:jc w:val="both"/>
        <w:rPr>
          <w:color w:val="auto"/>
        </w:rPr>
      </w:pPr>
      <w:r w:rsidRPr="0044418E">
        <w:rPr>
          <w:color w:val="auto"/>
        </w:rPr>
        <w:t xml:space="preserve">Tartu vald, olles iseseisev kohaliku omavalitsuse üksus, soovib pakkuda oma kogukonna liikmetele ja külalistele parimat keskkonda elamiseks, töötamiseks, õppimiseks ja vaba aja veetmiseks. </w:t>
      </w:r>
    </w:p>
    <w:p w14:paraId="26462B0D" w14:textId="77777777" w:rsidR="00D56C67" w:rsidRPr="00D56C67" w:rsidRDefault="00D56C67" w:rsidP="0057729D">
      <w:pPr>
        <w:pStyle w:val="Default"/>
        <w:jc w:val="both"/>
      </w:pPr>
      <w:r w:rsidRPr="00D56C67">
        <w:t xml:space="preserve">Vallale on iseloomulik kaunis </w:t>
      </w:r>
      <w:proofErr w:type="spellStart"/>
      <w:r w:rsidRPr="00D56C67">
        <w:t>Vooremaa</w:t>
      </w:r>
      <w:proofErr w:type="spellEnd"/>
      <w:r w:rsidRPr="00D56C67">
        <w:t xml:space="preserve"> maastik, mida läbib Amme jõgi. Alates 1991. aastast on Piirissaar Piirissaare maastikukaitseala, mis on rahvusvahelise tähtsusega märgala. Alam-Pedja looduskaitseala territoorium paikneb Tartu vallas. Looduskaitsealaga tutvumiseks on rajatud kolm loodusrada, millest Selli-Sillaotsa </w:t>
      </w:r>
      <w:r w:rsidRPr="00D56C67">
        <w:lastRenderedPageBreak/>
        <w:t>õpperada (pikkus 4,7 km) kulgeb Laeva soos. Valla territooriumil on 6 looduslikku järve, millest suurim on Saadjärv.</w:t>
      </w:r>
    </w:p>
    <w:p w14:paraId="6CEE6318" w14:textId="77777777" w:rsidR="00D56C67" w:rsidRPr="00D56C67" w:rsidRDefault="00D56C67" w:rsidP="0057729D">
      <w:pPr>
        <w:pStyle w:val="Default"/>
        <w:jc w:val="both"/>
      </w:pPr>
      <w:r w:rsidRPr="00D56C67">
        <w:t xml:space="preserve">Suuremateks ettevõteteks valla territooriumil on Valio Eesti AS, </w:t>
      </w:r>
      <w:proofErr w:type="spellStart"/>
      <w:r w:rsidRPr="00D56C67">
        <w:t>Mayeri</w:t>
      </w:r>
      <w:proofErr w:type="spellEnd"/>
      <w:r w:rsidRPr="00D56C67">
        <w:t xml:space="preserve"> Industries AS, </w:t>
      </w:r>
      <w:proofErr w:type="spellStart"/>
      <w:r w:rsidRPr="00D56C67">
        <w:t>Same</w:t>
      </w:r>
      <w:proofErr w:type="spellEnd"/>
      <w:r w:rsidRPr="00D56C67">
        <w:t xml:space="preserve"> OÜ, Baltic </w:t>
      </w:r>
      <w:proofErr w:type="spellStart"/>
      <w:r w:rsidRPr="00D56C67">
        <w:t>Connexions</w:t>
      </w:r>
      <w:proofErr w:type="spellEnd"/>
      <w:r w:rsidRPr="00D56C67">
        <w:t xml:space="preserve"> OÜ, </w:t>
      </w:r>
      <w:proofErr w:type="spellStart"/>
      <w:r w:rsidRPr="00D56C67">
        <w:t>Lingalaid</w:t>
      </w:r>
      <w:proofErr w:type="spellEnd"/>
      <w:r w:rsidRPr="00D56C67">
        <w:t xml:space="preserve"> OÜ, </w:t>
      </w:r>
      <w:proofErr w:type="spellStart"/>
      <w:r w:rsidRPr="00D56C67">
        <w:t>Arens</w:t>
      </w:r>
      <w:proofErr w:type="spellEnd"/>
      <w:r w:rsidRPr="00D56C67">
        <w:t xml:space="preserve"> AS, </w:t>
      </w:r>
      <w:proofErr w:type="spellStart"/>
      <w:r w:rsidRPr="00D56C67">
        <w:t>Ikodor</w:t>
      </w:r>
      <w:proofErr w:type="spellEnd"/>
      <w:r w:rsidRPr="00D56C67">
        <w:t xml:space="preserve"> AS ja </w:t>
      </w:r>
      <w:proofErr w:type="spellStart"/>
      <w:r w:rsidRPr="00D56C67">
        <w:t>Rotaks</w:t>
      </w:r>
      <w:proofErr w:type="spellEnd"/>
      <w:r w:rsidRPr="00D56C67">
        <w:t>-R OÜ</w:t>
      </w:r>
    </w:p>
    <w:p w14:paraId="53089B45" w14:textId="442BF9BF" w:rsidR="00463A26" w:rsidRDefault="00D56C67" w:rsidP="0057729D">
      <w:pPr>
        <w:pStyle w:val="Default"/>
        <w:jc w:val="both"/>
      </w:pPr>
      <w:r w:rsidRPr="00D56C67">
        <w:t xml:space="preserve">Viimase </w:t>
      </w:r>
      <w:r w:rsidR="007D5652">
        <w:t>kolme aasta</w:t>
      </w:r>
      <w:r w:rsidRPr="00D56C67">
        <w:t xml:space="preserve"> jooksul on elanike arv suurenenud </w:t>
      </w:r>
      <w:r w:rsidR="009B5BDE">
        <w:t>keskmiselt 500-</w:t>
      </w:r>
      <w:r w:rsidRPr="00D56C67">
        <w:t>võrra. Elanike arvu suurenemine on tingitud kiirest elamuehituse kasvust.</w:t>
      </w:r>
    </w:p>
    <w:p w14:paraId="50BAD6BD" w14:textId="77777777" w:rsidR="00463A26" w:rsidRDefault="00463A26" w:rsidP="00463A26">
      <w:pPr>
        <w:pStyle w:val="Default"/>
      </w:pPr>
    </w:p>
    <w:p w14:paraId="4899AE98" w14:textId="6443BB42" w:rsidR="00463A26" w:rsidRDefault="00463A26" w:rsidP="00463A26">
      <w:pPr>
        <w:rPr>
          <w:rFonts w:ascii="Arial" w:hAnsi="Arial" w:cs="Arial"/>
        </w:rPr>
      </w:pPr>
      <w:r w:rsidRPr="00FE535A">
        <w:rPr>
          <w:rFonts w:ascii="Arial" w:hAnsi="Arial" w:cs="Arial"/>
        </w:rPr>
        <w:t xml:space="preserve">Tabel </w:t>
      </w:r>
      <w:r>
        <w:rPr>
          <w:rFonts w:ascii="Arial" w:hAnsi="Arial" w:cs="Arial"/>
        </w:rPr>
        <w:t>5</w:t>
      </w:r>
      <w:r w:rsidRPr="00FE535A">
        <w:rPr>
          <w:rFonts w:ascii="Arial" w:hAnsi="Arial" w:cs="Arial"/>
        </w:rPr>
        <w:t xml:space="preserve">. </w:t>
      </w:r>
      <w:r w:rsidR="00D735DD">
        <w:rPr>
          <w:rFonts w:ascii="Arial" w:hAnsi="Arial" w:cs="Arial"/>
        </w:rPr>
        <w:t>Tartu v</w:t>
      </w:r>
      <w:r w:rsidR="0016584E">
        <w:rPr>
          <w:rFonts w:ascii="Arial" w:hAnsi="Arial" w:cs="Arial"/>
        </w:rPr>
        <w:t xml:space="preserve">alla elanike </w:t>
      </w:r>
      <w:r w:rsidR="00912975">
        <w:rPr>
          <w:rFonts w:ascii="Arial" w:hAnsi="Arial" w:cs="Arial"/>
        </w:rPr>
        <w:t>struktuur</w:t>
      </w:r>
      <w:r w:rsidR="00D735DD">
        <w:rPr>
          <w:rFonts w:ascii="Arial" w:hAnsi="Arial" w:cs="Arial"/>
        </w:rPr>
        <w:t xml:space="preserve"> ja muutus</w:t>
      </w:r>
      <w:r w:rsidR="00912975">
        <w:rPr>
          <w:rFonts w:ascii="Arial" w:hAnsi="Arial" w:cs="Arial"/>
        </w:rPr>
        <w:t xml:space="preserve"> 2020-202</w:t>
      </w:r>
      <w:r w:rsidR="00343984">
        <w:rPr>
          <w:rFonts w:ascii="Arial" w:hAnsi="Arial" w:cs="Arial"/>
        </w:rPr>
        <w:t>4</w:t>
      </w:r>
    </w:p>
    <w:p w14:paraId="5F691976" w14:textId="251E1FB9" w:rsidR="00F558A6" w:rsidRDefault="00DB5172" w:rsidP="00463A26">
      <w:pPr>
        <w:rPr>
          <w:rFonts w:ascii="Arial" w:hAnsi="Arial" w:cs="Arial"/>
        </w:rPr>
      </w:pPr>
      <w:r w:rsidRPr="00DB5172">
        <w:rPr>
          <w:noProof/>
        </w:rPr>
        <w:drawing>
          <wp:inline distT="0" distB="0" distL="0" distR="0" wp14:anchorId="64EBD389" wp14:editId="606D7B2E">
            <wp:extent cx="5934075" cy="1393252"/>
            <wp:effectExtent l="0" t="0" r="0" b="0"/>
            <wp:docPr id="485113617"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2216" cy="1397511"/>
                    </a:xfrm>
                    <a:prstGeom prst="rect">
                      <a:avLst/>
                    </a:prstGeom>
                    <a:noFill/>
                    <a:ln>
                      <a:noFill/>
                    </a:ln>
                  </pic:spPr>
                </pic:pic>
              </a:graphicData>
            </a:graphic>
          </wp:inline>
        </w:drawing>
      </w:r>
    </w:p>
    <w:p w14:paraId="5B2FD104" w14:textId="34099E62" w:rsidR="00F558A6" w:rsidRDefault="00F558A6" w:rsidP="00F558A6">
      <w:pPr>
        <w:rPr>
          <w:rFonts w:ascii="Arial" w:hAnsi="Arial" w:cs="Arial"/>
          <w:i/>
          <w:iCs/>
          <w:sz w:val="20"/>
          <w:szCs w:val="20"/>
        </w:rPr>
      </w:pPr>
      <w:r w:rsidRPr="00C210D2">
        <w:rPr>
          <w:rFonts w:ascii="Arial" w:hAnsi="Arial" w:cs="Arial"/>
          <w:i/>
          <w:iCs/>
          <w:sz w:val="20"/>
          <w:szCs w:val="20"/>
        </w:rPr>
        <w:t>Allikas</w:t>
      </w:r>
      <w:r>
        <w:rPr>
          <w:rFonts w:ascii="Arial" w:hAnsi="Arial" w:cs="Arial"/>
          <w:i/>
          <w:iCs/>
          <w:sz w:val="20"/>
          <w:szCs w:val="20"/>
        </w:rPr>
        <w:t>: Rah</w:t>
      </w:r>
      <w:r w:rsidR="00157049">
        <w:rPr>
          <w:rFonts w:ascii="Arial" w:hAnsi="Arial" w:cs="Arial"/>
          <w:i/>
          <w:iCs/>
          <w:sz w:val="20"/>
          <w:szCs w:val="20"/>
        </w:rPr>
        <w:t>vastikuregister</w:t>
      </w:r>
    </w:p>
    <w:p w14:paraId="64D4EBA4" w14:textId="3833BC7B" w:rsidR="00400C37" w:rsidRDefault="00400C37" w:rsidP="00400C37">
      <w:pPr>
        <w:rPr>
          <w:rFonts w:ascii="Arial" w:hAnsi="Arial" w:cs="Arial"/>
        </w:rPr>
      </w:pPr>
      <w:r w:rsidRPr="00FE535A">
        <w:rPr>
          <w:rFonts w:ascii="Arial" w:hAnsi="Arial" w:cs="Arial"/>
        </w:rPr>
        <w:t xml:space="preserve">Tabel </w:t>
      </w:r>
      <w:r>
        <w:rPr>
          <w:rFonts w:ascii="Arial" w:hAnsi="Arial" w:cs="Arial"/>
        </w:rPr>
        <w:t>6</w:t>
      </w:r>
      <w:r w:rsidRPr="00FE535A">
        <w:rPr>
          <w:rFonts w:ascii="Arial" w:hAnsi="Arial" w:cs="Arial"/>
        </w:rPr>
        <w:t xml:space="preserve">. </w:t>
      </w:r>
      <w:r>
        <w:rPr>
          <w:rFonts w:ascii="Arial" w:hAnsi="Arial" w:cs="Arial"/>
        </w:rPr>
        <w:t xml:space="preserve">Tartu valla </w:t>
      </w:r>
      <w:r w:rsidR="004978FD">
        <w:rPr>
          <w:rFonts w:ascii="Arial" w:hAnsi="Arial" w:cs="Arial"/>
        </w:rPr>
        <w:t>ja Eesti keskmine brutokuutulu 2019-202</w:t>
      </w:r>
      <w:r w:rsidR="00660AE2">
        <w:rPr>
          <w:rFonts w:ascii="Arial" w:hAnsi="Arial" w:cs="Arial"/>
        </w:rPr>
        <w:t>4.a</w:t>
      </w:r>
      <w:r w:rsidR="00043CE1">
        <w:rPr>
          <w:rFonts w:ascii="Arial" w:hAnsi="Arial" w:cs="Arial"/>
        </w:rPr>
        <w:t xml:space="preserve"> </w:t>
      </w:r>
      <w:r w:rsidR="00660AE2">
        <w:rPr>
          <w:rFonts w:ascii="Arial" w:hAnsi="Arial" w:cs="Arial"/>
        </w:rPr>
        <w:t>1</w:t>
      </w:r>
      <w:r w:rsidR="00043CE1">
        <w:rPr>
          <w:rFonts w:ascii="Arial" w:hAnsi="Arial" w:cs="Arial"/>
        </w:rPr>
        <w:t>.kvartal</w:t>
      </w:r>
    </w:p>
    <w:p w14:paraId="46977DB3" w14:textId="7A8B314D" w:rsidR="00660AE2" w:rsidRDefault="00660AE2" w:rsidP="00400C37">
      <w:pPr>
        <w:rPr>
          <w:rFonts w:ascii="Arial" w:hAnsi="Arial" w:cs="Arial"/>
        </w:rPr>
      </w:pPr>
      <w:r w:rsidRPr="00660AE2">
        <w:rPr>
          <w:noProof/>
        </w:rPr>
        <w:drawing>
          <wp:inline distT="0" distB="0" distL="0" distR="0" wp14:anchorId="0E3BB6E4" wp14:editId="666F6FBA">
            <wp:extent cx="5972175" cy="1198568"/>
            <wp:effectExtent l="0" t="0" r="0" b="1905"/>
            <wp:docPr id="148975859"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5373" cy="1201217"/>
                    </a:xfrm>
                    <a:prstGeom prst="rect">
                      <a:avLst/>
                    </a:prstGeom>
                    <a:noFill/>
                    <a:ln>
                      <a:noFill/>
                    </a:ln>
                  </pic:spPr>
                </pic:pic>
              </a:graphicData>
            </a:graphic>
          </wp:inline>
        </w:drawing>
      </w:r>
    </w:p>
    <w:p w14:paraId="3959255C" w14:textId="75DA95E5" w:rsidR="00902931" w:rsidRDefault="00902931" w:rsidP="00902931">
      <w:pPr>
        <w:rPr>
          <w:rFonts w:ascii="Arial" w:hAnsi="Arial" w:cs="Arial"/>
          <w:i/>
          <w:iCs/>
          <w:sz w:val="20"/>
          <w:szCs w:val="20"/>
        </w:rPr>
      </w:pPr>
      <w:r w:rsidRPr="00C210D2">
        <w:rPr>
          <w:rFonts w:ascii="Arial" w:hAnsi="Arial" w:cs="Arial"/>
          <w:i/>
          <w:iCs/>
          <w:sz w:val="20"/>
          <w:szCs w:val="20"/>
        </w:rPr>
        <w:t>Allikas</w:t>
      </w:r>
      <w:r>
        <w:rPr>
          <w:rFonts w:ascii="Arial" w:hAnsi="Arial" w:cs="Arial"/>
          <w:i/>
          <w:iCs/>
          <w:sz w:val="20"/>
          <w:szCs w:val="20"/>
        </w:rPr>
        <w:t>: Rahandusministeerium</w:t>
      </w:r>
    </w:p>
    <w:p w14:paraId="06F077BB" w14:textId="6A517DB5" w:rsidR="00277E55" w:rsidRDefault="00277E55" w:rsidP="00277E55">
      <w:pPr>
        <w:rPr>
          <w:rFonts w:ascii="Arial" w:hAnsi="Arial" w:cs="Arial"/>
        </w:rPr>
      </w:pPr>
      <w:r w:rsidRPr="00FE535A">
        <w:rPr>
          <w:rFonts w:ascii="Arial" w:hAnsi="Arial" w:cs="Arial"/>
        </w:rPr>
        <w:t xml:space="preserve">Tabel </w:t>
      </w:r>
      <w:r>
        <w:rPr>
          <w:rFonts w:ascii="Arial" w:hAnsi="Arial" w:cs="Arial"/>
        </w:rPr>
        <w:t>7</w:t>
      </w:r>
      <w:r w:rsidRPr="00FE535A">
        <w:rPr>
          <w:rFonts w:ascii="Arial" w:hAnsi="Arial" w:cs="Arial"/>
        </w:rPr>
        <w:t xml:space="preserve">. </w:t>
      </w:r>
      <w:r>
        <w:rPr>
          <w:rFonts w:ascii="Arial" w:hAnsi="Arial" w:cs="Arial"/>
        </w:rPr>
        <w:t>Tartu valla tulumaksu laekumise muutus</w:t>
      </w:r>
      <w:r w:rsidR="0092447C">
        <w:rPr>
          <w:rFonts w:ascii="Arial" w:hAnsi="Arial" w:cs="Arial"/>
        </w:rPr>
        <w:t xml:space="preserve"> ja võrdlus Eesti keskmisega </w:t>
      </w:r>
    </w:p>
    <w:p w14:paraId="133BAEBA" w14:textId="0D614EF5" w:rsidR="00DE400A" w:rsidRDefault="00FD115D" w:rsidP="00463A26">
      <w:pPr>
        <w:rPr>
          <w:rFonts w:ascii="Arial" w:hAnsi="Arial" w:cs="Arial"/>
        </w:rPr>
      </w:pPr>
      <w:r w:rsidRPr="00FD115D">
        <w:rPr>
          <w:noProof/>
        </w:rPr>
        <w:drawing>
          <wp:inline distT="0" distB="0" distL="0" distR="0" wp14:anchorId="41F1244D" wp14:editId="60D558E3">
            <wp:extent cx="5886450" cy="1327566"/>
            <wp:effectExtent l="0" t="0" r="0" b="6350"/>
            <wp:docPr id="1158460470"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8998" cy="1330396"/>
                    </a:xfrm>
                    <a:prstGeom prst="rect">
                      <a:avLst/>
                    </a:prstGeom>
                    <a:noFill/>
                    <a:ln>
                      <a:noFill/>
                    </a:ln>
                  </pic:spPr>
                </pic:pic>
              </a:graphicData>
            </a:graphic>
          </wp:inline>
        </w:drawing>
      </w:r>
    </w:p>
    <w:p w14:paraId="5A0317C0" w14:textId="77777777" w:rsidR="0046707C" w:rsidRDefault="0046707C" w:rsidP="0046707C">
      <w:pPr>
        <w:rPr>
          <w:rFonts w:ascii="Arial" w:hAnsi="Arial" w:cs="Arial"/>
          <w:i/>
          <w:iCs/>
          <w:sz w:val="20"/>
          <w:szCs w:val="20"/>
        </w:rPr>
      </w:pPr>
      <w:r w:rsidRPr="00C210D2">
        <w:rPr>
          <w:rFonts w:ascii="Arial" w:hAnsi="Arial" w:cs="Arial"/>
          <w:i/>
          <w:iCs/>
          <w:sz w:val="20"/>
          <w:szCs w:val="20"/>
        </w:rPr>
        <w:t>Allikas</w:t>
      </w:r>
      <w:r>
        <w:rPr>
          <w:rFonts w:ascii="Arial" w:hAnsi="Arial" w:cs="Arial"/>
          <w:i/>
          <w:iCs/>
          <w:sz w:val="20"/>
          <w:szCs w:val="20"/>
        </w:rPr>
        <w:t>: Rahandusministeerium</w:t>
      </w:r>
    </w:p>
    <w:p w14:paraId="3E4B3026" w14:textId="3A09180C" w:rsidR="00AC0644" w:rsidRPr="00B21F07" w:rsidRDefault="001F16BE" w:rsidP="00992BE1">
      <w:pPr>
        <w:pStyle w:val="Pealkiri2"/>
        <w:numPr>
          <w:ilvl w:val="0"/>
          <w:numId w:val="16"/>
        </w:numPr>
        <w:rPr>
          <w:b/>
          <w:bCs/>
          <w:sz w:val="32"/>
          <w:szCs w:val="32"/>
        </w:rPr>
      </w:pPr>
      <w:bookmarkStart w:id="12" w:name="_Toc173767787"/>
      <w:r w:rsidRPr="00B21F07">
        <w:rPr>
          <w:b/>
          <w:bCs/>
          <w:sz w:val="32"/>
          <w:szCs w:val="32"/>
        </w:rPr>
        <w:t>Tulud</w:t>
      </w:r>
      <w:bookmarkEnd w:id="12"/>
    </w:p>
    <w:p w14:paraId="3B8A5699" w14:textId="77777777" w:rsidR="00FF6888" w:rsidRPr="00FF6888" w:rsidRDefault="00FF6888" w:rsidP="00FF6888">
      <w:pPr>
        <w:pStyle w:val="Default"/>
        <w:ind w:left="720"/>
        <w:rPr>
          <w:sz w:val="32"/>
          <w:szCs w:val="32"/>
        </w:rPr>
      </w:pPr>
    </w:p>
    <w:p w14:paraId="76AC817A" w14:textId="77777777" w:rsidR="00FD1DCC" w:rsidRDefault="00FD1DCC" w:rsidP="00061885">
      <w:pPr>
        <w:pStyle w:val="Default"/>
        <w:jc w:val="both"/>
      </w:pPr>
      <w:r w:rsidRPr="00D8556E">
        <w:rPr>
          <w:color w:val="auto"/>
        </w:rPr>
        <w:t>Põhitegevuse</w:t>
      </w:r>
      <w:r w:rsidRPr="00001F25">
        <w:t xml:space="preserve"> tuludena käsitletakse eelarvestrateegias tulenevalt KOFS-i regulatsioonist järgmisi tulusid: 1) maksutulud; 2) tulud kaupade ja teenuste müügist; 3) saadavad toetused; 4) muud tegevustulud. </w:t>
      </w:r>
    </w:p>
    <w:p w14:paraId="52F01184" w14:textId="6D80C580" w:rsidR="00FD1DCC" w:rsidRPr="00001F25" w:rsidRDefault="00FD1DCC" w:rsidP="00784EF1">
      <w:pPr>
        <w:pStyle w:val="Default"/>
        <w:jc w:val="both"/>
      </w:pPr>
      <w:r w:rsidRPr="00001F25">
        <w:t>Kõige olulisem tuluallikas on üksikisiku tulumaksu laekumine, mis moodustab enam kui 9</w:t>
      </w:r>
      <w:r w:rsidR="00107C85" w:rsidRPr="00001F25">
        <w:t>7</w:t>
      </w:r>
      <w:r w:rsidRPr="00001F25">
        <w:t>% maksutuludest ja kaks kolmandikku põhitegevuse tuludest. Perioodil 20</w:t>
      </w:r>
      <w:r w:rsidR="004B2754">
        <w:t>19</w:t>
      </w:r>
      <w:r w:rsidRPr="00001F25">
        <w:t>-202</w:t>
      </w:r>
      <w:r w:rsidR="002B5473">
        <w:t>4</w:t>
      </w:r>
      <w:r w:rsidR="00746303">
        <w:t>.a</w:t>
      </w:r>
      <w:r w:rsidRPr="00001F25">
        <w:t xml:space="preserve"> suurene</w:t>
      </w:r>
      <w:r w:rsidR="004B2754">
        <w:t>s</w:t>
      </w:r>
      <w:r w:rsidRPr="00001F25">
        <w:t xml:space="preserve"> maksumaksjate arv keskmiselt</w:t>
      </w:r>
      <w:r w:rsidR="00746303">
        <w:t xml:space="preserve"> </w:t>
      </w:r>
      <w:r w:rsidRPr="00001F25">
        <w:t xml:space="preserve"> </w:t>
      </w:r>
      <w:r w:rsidR="00B90FA0">
        <w:t>6</w:t>
      </w:r>
      <w:r w:rsidRPr="00001F25">
        <w:t xml:space="preserve">% aastas. </w:t>
      </w:r>
      <w:r w:rsidR="00606B73">
        <w:t>Samal perioodil</w:t>
      </w:r>
      <w:r w:rsidRPr="00001F25">
        <w:t xml:space="preserve"> o</w:t>
      </w:r>
      <w:r w:rsidR="00606B73">
        <w:t>li</w:t>
      </w:r>
      <w:r w:rsidRPr="00001F25">
        <w:t xml:space="preserve"> inimeste sissetulekute kasv ligilähedane Eesti keskmisele ehk </w:t>
      </w:r>
      <w:r w:rsidR="00D725C2">
        <w:t>7</w:t>
      </w:r>
      <w:r w:rsidRPr="00001F25">
        <w:t xml:space="preserve">% aastas. Tulumaksu </w:t>
      </w:r>
      <w:r w:rsidRPr="00001F25">
        <w:lastRenderedPageBreak/>
        <w:t xml:space="preserve">laekumise kasv võrreldes Eesti keskmisega on ca </w:t>
      </w:r>
      <w:r w:rsidR="00824C17" w:rsidRPr="00001F25">
        <w:t>5</w:t>
      </w:r>
      <w:r w:rsidRPr="00001F25">
        <w:t xml:space="preserve">% suurem, mille põhjuseks on lisandunud maksumaksjad. </w:t>
      </w:r>
    </w:p>
    <w:p w14:paraId="4404712B" w14:textId="10F98D66" w:rsidR="003A6403" w:rsidRDefault="00FD1DCC" w:rsidP="00784EF1">
      <w:pPr>
        <w:spacing w:line="240" w:lineRule="auto"/>
        <w:jc w:val="both"/>
        <w:rPr>
          <w:rFonts w:ascii="Arial" w:hAnsi="Arial" w:cs="Arial"/>
          <w:sz w:val="24"/>
          <w:szCs w:val="24"/>
        </w:rPr>
      </w:pPr>
      <w:r w:rsidRPr="00001F25">
        <w:rPr>
          <w:rFonts w:ascii="Arial" w:hAnsi="Arial" w:cs="Arial"/>
          <w:sz w:val="24"/>
          <w:szCs w:val="24"/>
        </w:rPr>
        <w:t xml:space="preserve">Strateegia vaates iseloomustab tulude planeerimist </w:t>
      </w:r>
      <w:r w:rsidR="00824C17" w:rsidRPr="00001F25">
        <w:rPr>
          <w:rFonts w:ascii="Arial" w:hAnsi="Arial" w:cs="Arial"/>
          <w:sz w:val="24"/>
          <w:szCs w:val="24"/>
        </w:rPr>
        <w:t xml:space="preserve">viimase </w:t>
      </w:r>
      <w:r w:rsidR="00717225">
        <w:rPr>
          <w:rFonts w:ascii="Arial" w:hAnsi="Arial" w:cs="Arial"/>
          <w:sz w:val="24"/>
          <w:szCs w:val="24"/>
        </w:rPr>
        <w:t>7</w:t>
      </w:r>
      <w:r w:rsidR="00824C17" w:rsidRPr="00001F25">
        <w:rPr>
          <w:rFonts w:ascii="Arial" w:hAnsi="Arial" w:cs="Arial"/>
          <w:sz w:val="24"/>
          <w:szCs w:val="24"/>
        </w:rPr>
        <w:t xml:space="preserve"> aasta keskmine kasv</w:t>
      </w:r>
      <w:r w:rsidR="00E11077">
        <w:rPr>
          <w:rFonts w:ascii="Arial" w:hAnsi="Arial" w:cs="Arial"/>
          <w:sz w:val="24"/>
          <w:szCs w:val="24"/>
        </w:rPr>
        <w:t>.</w:t>
      </w:r>
    </w:p>
    <w:p w14:paraId="4AB5D072" w14:textId="4D9ABA83" w:rsidR="00D7384F" w:rsidRDefault="00D7384F" w:rsidP="00D7384F">
      <w:pPr>
        <w:rPr>
          <w:rFonts w:ascii="Arial" w:hAnsi="Arial" w:cs="Arial"/>
        </w:rPr>
      </w:pPr>
      <w:r w:rsidRPr="00FE535A">
        <w:rPr>
          <w:rFonts w:ascii="Arial" w:hAnsi="Arial" w:cs="Arial"/>
        </w:rPr>
        <w:t xml:space="preserve">Tabel </w:t>
      </w:r>
      <w:r>
        <w:rPr>
          <w:rFonts w:ascii="Arial" w:hAnsi="Arial" w:cs="Arial"/>
        </w:rPr>
        <w:t>8</w:t>
      </w:r>
      <w:r w:rsidRPr="00FE535A">
        <w:rPr>
          <w:rFonts w:ascii="Arial" w:hAnsi="Arial" w:cs="Arial"/>
        </w:rPr>
        <w:t xml:space="preserve">. </w:t>
      </w:r>
      <w:r>
        <w:rPr>
          <w:rFonts w:ascii="Arial" w:hAnsi="Arial" w:cs="Arial"/>
        </w:rPr>
        <w:t xml:space="preserve">Põhitegevuse tulud </w:t>
      </w:r>
      <w:r w:rsidR="00F67C45">
        <w:rPr>
          <w:rFonts w:ascii="Arial" w:hAnsi="Arial" w:cs="Arial"/>
        </w:rPr>
        <w:t>(202</w:t>
      </w:r>
      <w:r w:rsidR="00755CCF">
        <w:rPr>
          <w:rFonts w:ascii="Arial" w:hAnsi="Arial" w:cs="Arial"/>
        </w:rPr>
        <w:t>3</w:t>
      </w:r>
      <w:r w:rsidR="00F67C45">
        <w:rPr>
          <w:rFonts w:ascii="Arial" w:hAnsi="Arial" w:cs="Arial"/>
        </w:rPr>
        <w:t>-202</w:t>
      </w:r>
      <w:r w:rsidR="00755CCF">
        <w:rPr>
          <w:rFonts w:ascii="Arial" w:hAnsi="Arial" w:cs="Arial"/>
        </w:rPr>
        <w:t>8</w:t>
      </w:r>
      <w:r w:rsidR="00F67C45">
        <w:rPr>
          <w:rFonts w:ascii="Arial" w:hAnsi="Arial" w:cs="Arial"/>
        </w:rPr>
        <w:t>)</w:t>
      </w:r>
    </w:p>
    <w:p w14:paraId="1A20DF80" w14:textId="67F71C24" w:rsidR="00AF64BA" w:rsidRPr="00001F25" w:rsidRDefault="00FB390B" w:rsidP="00FD1DCC">
      <w:pPr>
        <w:rPr>
          <w:rFonts w:ascii="Arial" w:hAnsi="Arial" w:cs="Arial"/>
          <w:sz w:val="24"/>
          <w:szCs w:val="24"/>
        </w:rPr>
      </w:pPr>
      <w:r w:rsidRPr="00FB390B">
        <w:drawing>
          <wp:inline distT="0" distB="0" distL="0" distR="0" wp14:anchorId="2BC98128" wp14:editId="35BE3193">
            <wp:extent cx="5760720" cy="2414905"/>
            <wp:effectExtent l="0" t="0" r="0" b="4445"/>
            <wp:docPr id="38462298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414905"/>
                    </a:xfrm>
                    <a:prstGeom prst="rect">
                      <a:avLst/>
                    </a:prstGeom>
                    <a:noFill/>
                    <a:ln>
                      <a:noFill/>
                    </a:ln>
                  </pic:spPr>
                </pic:pic>
              </a:graphicData>
            </a:graphic>
          </wp:inline>
        </w:drawing>
      </w:r>
    </w:p>
    <w:p w14:paraId="00B0F85D" w14:textId="77777777" w:rsidR="00001F25" w:rsidRPr="00001F25" w:rsidRDefault="00001F25" w:rsidP="00001F25">
      <w:pPr>
        <w:autoSpaceDE w:val="0"/>
        <w:autoSpaceDN w:val="0"/>
        <w:adjustRightInd w:val="0"/>
        <w:spacing w:after="0" w:line="240" w:lineRule="auto"/>
        <w:rPr>
          <w:rFonts w:ascii="Arial" w:hAnsi="Arial" w:cs="Arial"/>
          <w:color w:val="000000"/>
          <w:sz w:val="24"/>
          <w:szCs w:val="24"/>
        </w:rPr>
      </w:pPr>
    </w:p>
    <w:p w14:paraId="2034BCC3" w14:textId="38A1D95D" w:rsidR="00001F25" w:rsidRDefault="00001F25" w:rsidP="000F3248">
      <w:pPr>
        <w:autoSpaceDE w:val="0"/>
        <w:autoSpaceDN w:val="0"/>
        <w:adjustRightInd w:val="0"/>
        <w:spacing w:after="0" w:line="240" w:lineRule="auto"/>
        <w:jc w:val="both"/>
        <w:rPr>
          <w:rFonts w:ascii="Arial" w:hAnsi="Arial" w:cs="Arial"/>
          <w:color w:val="000000"/>
          <w:sz w:val="24"/>
          <w:szCs w:val="24"/>
        </w:rPr>
      </w:pPr>
      <w:r w:rsidRPr="00001F25">
        <w:rPr>
          <w:rFonts w:ascii="Arial" w:hAnsi="Arial" w:cs="Arial"/>
          <w:color w:val="000000"/>
          <w:sz w:val="24"/>
          <w:szCs w:val="24"/>
        </w:rPr>
        <w:t xml:space="preserve">Põhitegevuse tulude prognoosi eeldused: </w:t>
      </w:r>
    </w:p>
    <w:p w14:paraId="341C9A21" w14:textId="77777777" w:rsidR="00D14D83" w:rsidRPr="00001F25" w:rsidRDefault="00D14D83" w:rsidP="000F3248">
      <w:pPr>
        <w:autoSpaceDE w:val="0"/>
        <w:autoSpaceDN w:val="0"/>
        <w:adjustRightInd w:val="0"/>
        <w:spacing w:after="0" w:line="240" w:lineRule="auto"/>
        <w:jc w:val="both"/>
        <w:rPr>
          <w:rFonts w:ascii="Arial" w:hAnsi="Arial" w:cs="Arial"/>
          <w:color w:val="000000"/>
          <w:sz w:val="24"/>
          <w:szCs w:val="24"/>
        </w:rPr>
      </w:pPr>
    </w:p>
    <w:p w14:paraId="223A486E" w14:textId="18CB9478" w:rsidR="00001F25" w:rsidRPr="005E39D1" w:rsidRDefault="00001F25" w:rsidP="000F3248">
      <w:pPr>
        <w:pStyle w:val="Loendilik"/>
        <w:numPr>
          <w:ilvl w:val="0"/>
          <w:numId w:val="10"/>
        </w:numPr>
        <w:jc w:val="both"/>
        <w:rPr>
          <w:rFonts w:ascii="Arial" w:hAnsi="Arial" w:cs="Arial"/>
          <w:sz w:val="24"/>
          <w:szCs w:val="24"/>
        </w:rPr>
      </w:pPr>
      <w:r w:rsidRPr="005E39D1">
        <w:rPr>
          <w:rFonts w:ascii="Arial" w:hAnsi="Arial" w:cs="Arial"/>
          <w:sz w:val="24"/>
          <w:szCs w:val="24"/>
        </w:rPr>
        <w:t xml:space="preserve">tulumaksu laekumise kasv on </w:t>
      </w:r>
      <w:r w:rsidR="00295457">
        <w:rPr>
          <w:rFonts w:ascii="Arial" w:hAnsi="Arial" w:cs="Arial"/>
          <w:sz w:val="24"/>
          <w:szCs w:val="24"/>
        </w:rPr>
        <w:t>arvestatud</w:t>
      </w:r>
      <w:r w:rsidR="009A1BBA" w:rsidRPr="005E39D1">
        <w:rPr>
          <w:rFonts w:ascii="Arial" w:hAnsi="Arial" w:cs="Arial"/>
          <w:sz w:val="24"/>
          <w:szCs w:val="24"/>
        </w:rPr>
        <w:t xml:space="preserve"> viimase </w:t>
      </w:r>
      <w:r w:rsidR="00295457">
        <w:rPr>
          <w:rFonts w:ascii="Arial" w:hAnsi="Arial" w:cs="Arial"/>
          <w:sz w:val="24"/>
          <w:szCs w:val="24"/>
        </w:rPr>
        <w:t>7</w:t>
      </w:r>
      <w:r w:rsidR="009A1BBA" w:rsidRPr="005E39D1">
        <w:rPr>
          <w:rFonts w:ascii="Arial" w:hAnsi="Arial" w:cs="Arial"/>
          <w:sz w:val="24"/>
          <w:szCs w:val="24"/>
        </w:rPr>
        <w:t xml:space="preserve"> aasta keskmise</w:t>
      </w:r>
      <w:r w:rsidR="00863438">
        <w:rPr>
          <w:rFonts w:ascii="Arial" w:hAnsi="Arial" w:cs="Arial"/>
          <w:sz w:val="24"/>
          <w:szCs w:val="24"/>
        </w:rPr>
        <w:t>st</w:t>
      </w:r>
      <w:r w:rsidR="009A1BBA" w:rsidRPr="005E39D1">
        <w:rPr>
          <w:rFonts w:ascii="Arial" w:hAnsi="Arial" w:cs="Arial"/>
          <w:sz w:val="24"/>
          <w:szCs w:val="24"/>
        </w:rPr>
        <w:t xml:space="preserve"> </w:t>
      </w:r>
      <w:r w:rsidR="004A76E8" w:rsidRPr="005E39D1">
        <w:rPr>
          <w:rFonts w:ascii="Arial" w:hAnsi="Arial" w:cs="Arial"/>
          <w:sz w:val="24"/>
          <w:szCs w:val="24"/>
        </w:rPr>
        <w:t>laekumise</w:t>
      </w:r>
      <w:r w:rsidR="00863438">
        <w:rPr>
          <w:rFonts w:ascii="Arial" w:hAnsi="Arial" w:cs="Arial"/>
          <w:sz w:val="24"/>
          <w:szCs w:val="24"/>
        </w:rPr>
        <w:t xml:space="preserve">st </w:t>
      </w:r>
      <w:r w:rsidR="00295457">
        <w:rPr>
          <w:rFonts w:ascii="Arial" w:hAnsi="Arial" w:cs="Arial"/>
          <w:sz w:val="24"/>
          <w:szCs w:val="24"/>
        </w:rPr>
        <w:t>(1</w:t>
      </w:r>
      <w:r w:rsidR="007071F4">
        <w:rPr>
          <w:rFonts w:ascii="Arial" w:hAnsi="Arial" w:cs="Arial"/>
          <w:sz w:val="24"/>
          <w:szCs w:val="24"/>
        </w:rPr>
        <w:t>4</w:t>
      </w:r>
      <w:r w:rsidR="00295457">
        <w:rPr>
          <w:rFonts w:ascii="Arial" w:hAnsi="Arial" w:cs="Arial"/>
          <w:sz w:val="24"/>
          <w:szCs w:val="24"/>
        </w:rPr>
        <w:t xml:space="preserve">%) </w:t>
      </w:r>
      <w:r w:rsidR="009C5AEE">
        <w:rPr>
          <w:rFonts w:ascii="Arial" w:hAnsi="Arial" w:cs="Arial"/>
          <w:sz w:val="24"/>
          <w:szCs w:val="24"/>
        </w:rPr>
        <w:t>3</w:t>
      </w:r>
      <w:r w:rsidR="00863438">
        <w:rPr>
          <w:rFonts w:ascii="Arial" w:hAnsi="Arial" w:cs="Arial"/>
          <w:sz w:val="24"/>
          <w:szCs w:val="24"/>
        </w:rPr>
        <w:t xml:space="preserve">% võrra </w:t>
      </w:r>
      <w:r w:rsidR="009C5AEE">
        <w:rPr>
          <w:rFonts w:ascii="Arial" w:hAnsi="Arial" w:cs="Arial"/>
          <w:sz w:val="24"/>
          <w:szCs w:val="24"/>
        </w:rPr>
        <w:t>väiksem</w:t>
      </w:r>
      <w:r w:rsidR="007071F4">
        <w:rPr>
          <w:rFonts w:ascii="Arial" w:hAnsi="Arial" w:cs="Arial"/>
          <w:sz w:val="24"/>
          <w:szCs w:val="24"/>
        </w:rPr>
        <w:t xml:space="preserve"> (11%)</w:t>
      </w:r>
      <w:r w:rsidR="008F534C">
        <w:rPr>
          <w:rFonts w:ascii="Arial" w:hAnsi="Arial" w:cs="Arial"/>
          <w:sz w:val="24"/>
          <w:szCs w:val="24"/>
        </w:rPr>
        <w:t>, kuna puudub pensionitulude laekumise ajalugu</w:t>
      </w:r>
      <w:r w:rsidR="00E95792">
        <w:rPr>
          <w:rFonts w:ascii="Arial" w:hAnsi="Arial" w:cs="Arial"/>
          <w:sz w:val="24"/>
          <w:szCs w:val="24"/>
        </w:rPr>
        <w:t>.</w:t>
      </w:r>
      <w:r w:rsidR="00AB6661">
        <w:rPr>
          <w:rFonts w:ascii="Arial" w:hAnsi="Arial" w:cs="Arial"/>
          <w:sz w:val="24"/>
          <w:szCs w:val="24"/>
        </w:rPr>
        <w:t xml:space="preserve"> Rahandusministeeriumi arvestuse järgi on </w:t>
      </w:r>
      <w:r w:rsidR="00C63A34">
        <w:rPr>
          <w:rFonts w:ascii="Arial" w:hAnsi="Arial" w:cs="Arial"/>
          <w:sz w:val="24"/>
          <w:szCs w:val="24"/>
        </w:rPr>
        <w:t xml:space="preserve">vähenemine maksimaalselt 1,73%, seega katab </w:t>
      </w:r>
      <w:r w:rsidR="005856F3">
        <w:rPr>
          <w:rFonts w:ascii="Arial" w:hAnsi="Arial" w:cs="Arial"/>
          <w:sz w:val="24"/>
          <w:szCs w:val="24"/>
        </w:rPr>
        <w:t>tulumaksu kasvu</w:t>
      </w:r>
      <w:r w:rsidR="00E32C89">
        <w:rPr>
          <w:rFonts w:ascii="Arial" w:hAnsi="Arial" w:cs="Arial"/>
          <w:sz w:val="24"/>
          <w:szCs w:val="24"/>
        </w:rPr>
        <w:t xml:space="preserve"> </w:t>
      </w:r>
      <w:r w:rsidR="004315A3">
        <w:rPr>
          <w:rFonts w:ascii="Arial" w:hAnsi="Arial" w:cs="Arial"/>
          <w:sz w:val="24"/>
          <w:szCs w:val="24"/>
        </w:rPr>
        <w:t xml:space="preserve">väiksem (-3%) </w:t>
      </w:r>
      <w:r w:rsidR="00E32C89">
        <w:rPr>
          <w:rFonts w:ascii="Arial" w:hAnsi="Arial" w:cs="Arial"/>
          <w:sz w:val="24"/>
          <w:szCs w:val="24"/>
        </w:rPr>
        <w:t>prognoos</w:t>
      </w:r>
      <w:r w:rsidR="00C100CB">
        <w:rPr>
          <w:rFonts w:ascii="Arial" w:hAnsi="Arial" w:cs="Arial"/>
          <w:sz w:val="24"/>
          <w:szCs w:val="24"/>
        </w:rPr>
        <w:t xml:space="preserve"> </w:t>
      </w:r>
      <w:r w:rsidR="006F0B3F">
        <w:rPr>
          <w:rFonts w:ascii="Arial" w:hAnsi="Arial" w:cs="Arial"/>
          <w:sz w:val="24"/>
          <w:szCs w:val="24"/>
        </w:rPr>
        <w:t xml:space="preserve">laekumise </w:t>
      </w:r>
      <w:r w:rsidR="00C100CB">
        <w:rPr>
          <w:rFonts w:ascii="Arial" w:hAnsi="Arial" w:cs="Arial"/>
          <w:sz w:val="24"/>
          <w:szCs w:val="24"/>
        </w:rPr>
        <w:t xml:space="preserve">võimaliku </w:t>
      </w:r>
      <w:r w:rsidR="006F0B3F">
        <w:rPr>
          <w:rFonts w:ascii="Arial" w:hAnsi="Arial" w:cs="Arial"/>
          <w:sz w:val="24"/>
          <w:szCs w:val="24"/>
        </w:rPr>
        <w:t>vähenemise ära.</w:t>
      </w:r>
      <w:r w:rsidRPr="005E39D1">
        <w:rPr>
          <w:rFonts w:ascii="Arial" w:hAnsi="Arial" w:cs="Arial"/>
          <w:sz w:val="24"/>
          <w:szCs w:val="24"/>
        </w:rPr>
        <w:t xml:space="preserve">; </w:t>
      </w:r>
    </w:p>
    <w:p w14:paraId="2E8306B4" w14:textId="1F189278" w:rsidR="00341788" w:rsidRPr="005E39D1" w:rsidRDefault="00001F25" w:rsidP="000F3248">
      <w:pPr>
        <w:pStyle w:val="Loendilik"/>
        <w:numPr>
          <w:ilvl w:val="0"/>
          <w:numId w:val="10"/>
        </w:numPr>
        <w:jc w:val="both"/>
        <w:rPr>
          <w:rFonts w:ascii="Arial" w:hAnsi="Arial" w:cs="Arial"/>
          <w:sz w:val="24"/>
          <w:szCs w:val="24"/>
        </w:rPr>
      </w:pPr>
      <w:r w:rsidRPr="005E39D1">
        <w:rPr>
          <w:rFonts w:ascii="Arial" w:hAnsi="Arial" w:cs="Arial"/>
          <w:sz w:val="24"/>
          <w:szCs w:val="24"/>
        </w:rPr>
        <w:t xml:space="preserve">maamaksu laekumine </w:t>
      </w:r>
      <w:r w:rsidR="00E40E29">
        <w:rPr>
          <w:rFonts w:ascii="Arial" w:hAnsi="Arial" w:cs="Arial"/>
          <w:sz w:val="24"/>
          <w:szCs w:val="24"/>
        </w:rPr>
        <w:t>väheneb 2024</w:t>
      </w:r>
      <w:r w:rsidR="000F3248">
        <w:rPr>
          <w:rFonts w:ascii="Arial" w:hAnsi="Arial" w:cs="Arial"/>
          <w:sz w:val="24"/>
          <w:szCs w:val="24"/>
        </w:rPr>
        <w:t xml:space="preserve">. </w:t>
      </w:r>
      <w:r w:rsidR="00E40E29">
        <w:rPr>
          <w:rFonts w:ascii="Arial" w:hAnsi="Arial" w:cs="Arial"/>
          <w:sz w:val="24"/>
          <w:szCs w:val="24"/>
        </w:rPr>
        <w:t>aastal arvestuslikult</w:t>
      </w:r>
      <w:r w:rsidR="00242923">
        <w:rPr>
          <w:rFonts w:ascii="Arial" w:hAnsi="Arial" w:cs="Arial"/>
          <w:sz w:val="24"/>
          <w:szCs w:val="24"/>
        </w:rPr>
        <w:t xml:space="preserve"> 50</w:t>
      </w:r>
      <w:r w:rsidR="00932135">
        <w:rPr>
          <w:rFonts w:ascii="Arial" w:hAnsi="Arial" w:cs="Arial"/>
          <w:sz w:val="24"/>
          <w:szCs w:val="24"/>
        </w:rPr>
        <w:t> </w:t>
      </w:r>
      <w:r w:rsidR="00242923">
        <w:rPr>
          <w:rFonts w:ascii="Arial" w:hAnsi="Arial" w:cs="Arial"/>
          <w:sz w:val="24"/>
          <w:szCs w:val="24"/>
        </w:rPr>
        <w:t>000</w:t>
      </w:r>
      <w:r w:rsidR="00932135">
        <w:rPr>
          <w:rFonts w:ascii="Arial" w:hAnsi="Arial" w:cs="Arial"/>
          <w:sz w:val="24"/>
          <w:szCs w:val="24"/>
        </w:rPr>
        <w:t xml:space="preserve"> </w:t>
      </w:r>
      <w:r w:rsidR="00242923">
        <w:rPr>
          <w:rFonts w:ascii="Arial" w:hAnsi="Arial" w:cs="Arial"/>
          <w:sz w:val="24"/>
          <w:szCs w:val="24"/>
        </w:rPr>
        <w:t xml:space="preserve">eurot vigase </w:t>
      </w:r>
      <w:r w:rsidR="00D669AF">
        <w:rPr>
          <w:rFonts w:ascii="Arial" w:hAnsi="Arial" w:cs="Arial"/>
          <w:sz w:val="24"/>
          <w:szCs w:val="24"/>
        </w:rPr>
        <w:t>sisendi tõttu maamaksumäärade muutmisel 2023</w:t>
      </w:r>
      <w:r w:rsidR="0043568E">
        <w:rPr>
          <w:rFonts w:ascii="Arial" w:hAnsi="Arial" w:cs="Arial"/>
          <w:sz w:val="24"/>
          <w:szCs w:val="24"/>
        </w:rPr>
        <w:t>.</w:t>
      </w:r>
      <w:r w:rsidR="00D669AF">
        <w:rPr>
          <w:rFonts w:ascii="Arial" w:hAnsi="Arial" w:cs="Arial"/>
          <w:sz w:val="24"/>
          <w:szCs w:val="24"/>
        </w:rPr>
        <w:t xml:space="preserve">aastal. Edaspidi on arvestuses maamaksu tõusu </w:t>
      </w:r>
      <w:r w:rsidR="00713A33">
        <w:rPr>
          <w:rFonts w:ascii="Arial" w:hAnsi="Arial" w:cs="Arial"/>
          <w:sz w:val="24"/>
          <w:szCs w:val="24"/>
        </w:rPr>
        <w:t xml:space="preserve">maksimumiks </w:t>
      </w:r>
      <w:r w:rsidR="00956759">
        <w:rPr>
          <w:rFonts w:ascii="Arial" w:hAnsi="Arial" w:cs="Arial"/>
          <w:sz w:val="24"/>
          <w:szCs w:val="24"/>
        </w:rPr>
        <w:t>25</w:t>
      </w:r>
      <w:r w:rsidR="00713A33">
        <w:rPr>
          <w:rFonts w:ascii="Arial" w:hAnsi="Arial" w:cs="Arial"/>
          <w:sz w:val="24"/>
          <w:szCs w:val="24"/>
        </w:rPr>
        <w:t>% aastas</w:t>
      </w:r>
      <w:r w:rsidRPr="005E39D1">
        <w:rPr>
          <w:rFonts w:ascii="Arial" w:hAnsi="Arial" w:cs="Arial"/>
          <w:sz w:val="24"/>
          <w:szCs w:val="24"/>
        </w:rPr>
        <w:t xml:space="preserve">; </w:t>
      </w:r>
    </w:p>
    <w:p w14:paraId="244CFA93" w14:textId="245C1044" w:rsidR="00BD7AC9" w:rsidRPr="005D257B" w:rsidRDefault="00001F25" w:rsidP="000F3248">
      <w:pPr>
        <w:pStyle w:val="Loendilik"/>
        <w:numPr>
          <w:ilvl w:val="0"/>
          <w:numId w:val="10"/>
        </w:numPr>
        <w:jc w:val="both"/>
        <w:rPr>
          <w:rFonts w:ascii="Arial" w:hAnsi="Arial" w:cs="Arial"/>
          <w:sz w:val="24"/>
          <w:szCs w:val="24"/>
        </w:rPr>
      </w:pPr>
      <w:r w:rsidRPr="005D257B">
        <w:rPr>
          <w:rFonts w:ascii="Arial" w:hAnsi="Arial" w:cs="Arial"/>
          <w:sz w:val="24"/>
          <w:szCs w:val="24"/>
        </w:rPr>
        <w:t>tulud kaupade ja teenuste müügist</w:t>
      </w:r>
      <w:r w:rsidR="00341788" w:rsidRPr="005D257B">
        <w:rPr>
          <w:rFonts w:ascii="Arial" w:hAnsi="Arial" w:cs="Arial"/>
          <w:sz w:val="24"/>
          <w:szCs w:val="24"/>
        </w:rPr>
        <w:t xml:space="preserve"> on prognoositud </w:t>
      </w:r>
      <w:r w:rsidR="00DC605D" w:rsidRPr="005D257B">
        <w:rPr>
          <w:rFonts w:ascii="Arial" w:hAnsi="Arial" w:cs="Arial"/>
          <w:sz w:val="24"/>
          <w:szCs w:val="24"/>
        </w:rPr>
        <w:t xml:space="preserve">keskmiselt </w:t>
      </w:r>
      <w:r w:rsidR="003D7C56" w:rsidRPr="005D257B">
        <w:rPr>
          <w:rFonts w:ascii="Arial" w:hAnsi="Arial" w:cs="Arial"/>
          <w:sz w:val="24"/>
          <w:szCs w:val="24"/>
        </w:rPr>
        <w:t>10-1</w:t>
      </w:r>
      <w:r w:rsidR="003261ED">
        <w:rPr>
          <w:rFonts w:ascii="Arial" w:hAnsi="Arial" w:cs="Arial"/>
          <w:sz w:val="24"/>
          <w:szCs w:val="24"/>
        </w:rPr>
        <w:t>3</w:t>
      </w:r>
      <w:r w:rsidR="003D7C56" w:rsidRPr="005D257B">
        <w:rPr>
          <w:rFonts w:ascii="Arial" w:hAnsi="Arial" w:cs="Arial"/>
          <w:sz w:val="24"/>
          <w:szCs w:val="24"/>
        </w:rPr>
        <w:t>% aastas;</w:t>
      </w:r>
      <w:r w:rsidRPr="005D257B">
        <w:rPr>
          <w:rFonts w:ascii="Arial" w:hAnsi="Arial" w:cs="Arial"/>
          <w:sz w:val="24"/>
          <w:szCs w:val="24"/>
        </w:rPr>
        <w:t xml:space="preserve"> </w:t>
      </w:r>
      <w:r w:rsidR="00CB7E96" w:rsidRPr="005D257B">
        <w:rPr>
          <w:rFonts w:ascii="Arial" w:hAnsi="Arial" w:cs="Arial"/>
          <w:sz w:val="24"/>
          <w:szCs w:val="24"/>
        </w:rPr>
        <w:t xml:space="preserve">saadavad toetused tegevuskuludeks, mis sisaldab </w:t>
      </w:r>
      <w:r w:rsidRPr="005D257B">
        <w:rPr>
          <w:rFonts w:ascii="Arial" w:hAnsi="Arial" w:cs="Arial"/>
          <w:sz w:val="24"/>
          <w:szCs w:val="24"/>
        </w:rPr>
        <w:t>toetusfondi eraldis</w:t>
      </w:r>
      <w:r w:rsidR="00CB7E96" w:rsidRPr="005D257B">
        <w:rPr>
          <w:rFonts w:ascii="Arial" w:hAnsi="Arial" w:cs="Arial"/>
          <w:sz w:val="24"/>
          <w:szCs w:val="24"/>
        </w:rPr>
        <w:t>t,</w:t>
      </w:r>
      <w:r w:rsidRPr="005D257B">
        <w:rPr>
          <w:rFonts w:ascii="Arial" w:hAnsi="Arial" w:cs="Arial"/>
          <w:sz w:val="24"/>
          <w:szCs w:val="24"/>
        </w:rPr>
        <w:t xml:space="preserve"> suurenevad igal aastal kooliõpilaste arvu muutusest lähtuvat</w:t>
      </w:r>
      <w:r w:rsidR="00C34249">
        <w:rPr>
          <w:rFonts w:ascii="Arial" w:hAnsi="Arial" w:cs="Arial"/>
          <w:sz w:val="24"/>
          <w:szCs w:val="24"/>
        </w:rPr>
        <w:t xml:space="preserve">. Tasandusfondi </w:t>
      </w:r>
      <w:r w:rsidR="00C32B33">
        <w:rPr>
          <w:rFonts w:ascii="Arial" w:hAnsi="Arial" w:cs="Arial"/>
          <w:sz w:val="24"/>
          <w:szCs w:val="24"/>
        </w:rPr>
        <w:t>suurus j</w:t>
      </w:r>
      <w:r w:rsidR="000D53C3">
        <w:rPr>
          <w:rFonts w:ascii="Arial" w:hAnsi="Arial" w:cs="Arial"/>
          <w:sz w:val="24"/>
          <w:szCs w:val="24"/>
        </w:rPr>
        <w:t>ääb 2024.a tasemele ja pigem väheneb</w:t>
      </w:r>
      <w:r w:rsidRPr="005D257B">
        <w:rPr>
          <w:rFonts w:ascii="Arial" w:hAnsi="Arial" w:cs="Arial"/>
          <w:sz w:val="24"/>
          <w:szCs w:val="24"/>
        </w:rPr>
        <w:t xml:space="preserve"> ; </w:t>
      </w:r>
    </w:p>
    <w:p w14:paraId="448E87DF" w14:textId="63778358" w:rsidR="002F264C" w:rsidRDefault="00BD7AC9" w:rsidP="000F3248">
      <w:pPr>
        <w:pStyle w:val="Loendilik"/>
        <w:numPr>
          <w:ilvl w:val="0"/>
          <w:numId w:val="10"/>
        </w:numPr>
        <w:jc w:val="both"/>
        <w:rPr>
          <w:rFonts w:ascii="Arial" w:hAnsi="Arial" w:cs="Arial"/>
          <w:sz w:val="24"/>
          <w:szCs w:val="24"/>
        </w:rPr>
      </w:pPr>
      <w:r w:rsidRPr="005D257B">
        <w:rPr>
          <w:rFonts w:ascii="Arial" w:hAnsi="Arial" w:cs="Arial"/>
          <w:sz w:val="24"/>
          <w:szCs w:val="24"/>
        </w:rPr>
        <w:t xml:space="preserve">laekumised kaevandamisõiguse tasust ja vee erikasutusest </w:t>
      </w:r>
      <w:r w:rsidR="00A75228">
        <w:rPr>
          <w:rFonts w:ascii="Arial" w:hAnsi="Arial" w:cs="Arial"/>
          <w:sz w:val="24"/>
          <w:szCs w:val="24"/>
        </w:rPr>
        <w:t xml:space="preserve">on </w:t>
      </w:r>
      <w:r w:rsidR="005A7F25">
        <w:rPr>
          <w:rFonts w:ascii="Arial" w:hAnsi="Arial" w:cs="Arial"/>
          <w:sz w:val="24"/>
          <w:szCs w:val="24"/>
        </w:rPr>
        <w:t>arvestatud 202</w:t>
      </w:r>
      <w:r w:rsidR="000D53C3">
        <w:rPr>
          <w:rFonts w:ascii="Arial" w:hAnsi="Arial" w:cs="Arial"/>
          <w:sz w:val="24"/>
          <w:szCs w:val="24"/>
        </w:rPr>
        <w:t>3</w:t>
      </w:r>
      <w:r w:rsidR="007201D8">
        <w:rPr>
          <w:rFonts w:ascii="Arial" w:hAnsi="Arial" w:cs="Arial"/>
          <w:sz w:val="24"/>
          <w:szCs w:val="24"/>
        </w:rPr>
        <w:t xml:space="preserve">. </w:t>
      </w:r>
      <w:r w:rsidR="005A7F25">
        <w:rPr>
          <w:rFonts w:ascii="Arial" w:hAnsi="Arial" w:cs="Arial"/>
          <w:sz w:val="24"/>
          <w:szCs w:val="24"/>
        </w:rPr>
        <w:t xml:space="preserve">aasta </w:t>
      </w:r>
      <w:r w:rsidR="00A75228">
        <w:rPr>
          <w:rFonts w:ascii="Arial" w:hAnsi="Arial" w:cs="Arial"/>
          <w:sz w:val="24"/>
          <w:szCs w:val="24"/>
        </w:rPr>
        <w:t xml:space="preserve">tegeliku </w:t>
      </w:r>
      <w:r w:rsidR="005A7F25">
        <w:rPr>
          <w:rFonts w:ascii="Arial" w:hAnsi="Arial" w:cs="Arial"/>
          <w:sz w:val="24"/>
          <w:szCs w:val="24"/>
        </w:rPr>
        <w:t xml:space="preserve">laekumise alusel ja </w:t>
      </w:r>
      <w:r w:rsidR="002F264C">
        <w:rPr>
          <w:rFonts w:ascii="Arial" w:hAnsi="Arial" w:cs="Arial"/>
          <w:sz w:val="24"/>
          <w:szCs w:val="24"/>
        </w:rPr>
        <w:t>prognoosis ei muutu;</w:t>
      </w:r>
    </w:p>
    <w:p w14:paraId="26BA17DD" w14:textId="60033DA0" w:rsidR="00C74A35" w:rsidRDefault="00BD7AC9" w:rsidP="000F3248">
      <w:pPr>
        <w:pStyle w:val="Loendilik"/>
        <w:numPr>
          <w:ilvl w:val="0"/>
          <w:numId w:val="10"/>
        </w:numPr>
        <w:jc w:val="both"/>
        <w:rPr>
          <w:rFonts w:ascii="Arial" w:hAnsi="Arial" w:cs="Arial"/>
          <w:sz w:val="24"/>
          <w:szCs w:val="24"/>
        </w:rPr>
      </w:pPr>
      <w:r w:rsidRPr="005D257B">
        <w:rPr>
          <w:rFonts w:ascii="Arial" w:hAnsi="Arial" w:cs="Arial"/>
          <w:sz w:val="24"/>
          <w:szCs w:val="24"/>
        </w:rPr>
        <w:t xml:space="preserve">muud saadavad toetused tegevuskuludeks </w:t>
      </w:r>
      <w:r w:rsidR="00FF23BC">
        <w:rPr>
          <w:rFonts w:ascii="Arial" w:hAnsi="Arial" w:cs="Arial"/>
          <w:sz w:val="24"/>
          <w:szCs w:val="24"/>
        </w:rPr>
        <w:t>jäävad 202</w:t>
      </w:r>
      <w:r w:rsidR="00F82623">
        <w:rPr>
          <w:rFonts w:ascii="Arial" w:hAnsi="Arial" w:cs="Arial"/>
          <w:sz w:val="24"/>
          <w:szCs w:val="24"/>
        </w:rPr>
        <w:t>4</w:t>
      </w:r>
      <w:r w:rsidR="007201D8">
        <w:rPr>
          <w:rFonts w:ascii="Arial" w:hAnsi="Arial" w:cs="Arial"/>
          <w:sz w:val="24"/>
          <w:szCs w:val="24"/>
        </w:rPr>
        <w:t>.</w:t>
      </w:r>
      <w:r w:rsidR="00FF23BC">
        <w:rPr>
          <w:rFonts w:ascii="Arial" w:hAnsi="Arial" w:cs="Arial"/>
          <w:sz w:val="24"/>
          <w:szCs w:val="24"/>
        </w:rPr>
        <w:t>aasta tasemele ja prognoosis ei muutu</w:t>
      </w:r>
      <w:r w:rsidRPr="005D257B">
        <w:rPr>
          <w:rFonts w:ascii="Arial" w:hAnsi="Arial" w:cs="Arial"/>
          <w:sz w:val="24"/>
          <w:szCs w:val="24"/>
        </w:rPr>
        <w:t>;</w:t>
      </w:r>
    </w:p>
    <w:p w14:paraId="3182DD2D" w14:textId="5E981683" w:rsidR="00C74A35" w:rsidRDefault="00C74A35" w:rsidP="000F3248">
      <w:pPr>
        <w:pStyle w:val="Default"/>
        <w:jc w:val="both"/>
      </w:pPr>
      <w:r w:rsidRPr="00936C66">
        <w:t>Põhitegevuse tulud suurenevad aastaks 202</w:t>
      </w:r>
      <w:r w:rsidR="00F82623">
        <w:t>8</w:t>
      </w:r>
      <w:r w:rsidR="00D66582">
        <w:t xml:space="preserve"> ca </w:t>
      </w:r>
      <w:r w:rsidR="00FF23BC">
        <w:t>4</w:t>
      </w:r>
      <w:r w:rsidR="00F82623">
        <w:t>4</w:t>
      </w:r>
      <w:r w:rsidR="00F8631D">
        <w:t xml:space="preserve"> </w:t>
      </w:r>
      <w:r w:rsidRPr="00936C66">
        <w:t>miljoni euroni</w:t>
      </w:r>
      <w:r w:rsidR="006C6C35">
        <w:t>,</w:t>
      </w:r>
      <w:r w:rsidR="000A4999">
        <w:t xml:space="preserve"> investeer</w:t>
      </w:r>
      <w:r w:rsidR="002063A1">
        <w:t xml:space="preserve">imis-  </w:t>
      </w:r>
      <w:r w:rsidR="000A4999">
        <w:t>tegevus</w:t>
      </w:r>
      <w:r w:rsidRPr="00936C66">
        <w:t xml:space="preserve"> </w:t>
      </w:r>
      <w:r w:rsidR="002063A1">
        <w:t>1</w:t>
      </w:r>
      <w:r w:rsidR="00A05137">
        <w:t>7</w:t>
      </w:r>
      <w:r w:rsidR="003F26EA">
        <w:t xml:space="preserve"> </w:t>
      </w:r>
      <w:r w:rsidR="002063A1">
        <w:t xml:space="preserve">miljoni </w:t>
      </w:r>
      <w:r w:rsidR="006C6C35">
        <w:t>euroni ja kohust</w:t>
      </w:r>
      <w:r w:rsidR="000D775A">
        <w:t>i</w:t>
      </w:r>
      <w:r w:rsidR="006C6C35">
        <w:t xml:space="preserve">sed </w:t>
      </w:r>
      <w:r w:rsidR="00F8631D">
        <w:t>33</w:t>
      </w:r>
      <w:r w:rsidR="003F26EA">
        <w:t xml:space="preserve"> miljoni euroni.</w:t>
      </w:r>
    </w:p>
    <w:p w14:paraId="3BDD077D" w14:textId="77777777" w:rsidR="006C2C71" w:rsidRDefault="006C2C71" w:rsidP="00C74A35">
      <w:pPr>
        <w:pStyle w:val="Default"/>
      </w:pPr>
    </w:p>
    <w:p w14:paraId="5AB66A85" w14:textId="163399A0" w:rsidR="00D66582" w:rsidRPr="00B21F07" w:rsidRDefault="00D66582" w:rsidP="00992BE1">
      <w:pPr>
        <w:pStyle w:val="Pealkiri2"/>
        <w:numPr>
          <w:ilvl w:val="0"/>
          <w:numId w:val="16"/>
        </w:numPr>
        <w:rPr>
          <w:b/>
          <w:bCs/>
          <w:sz w:val="36"/>
          <w:szCs w:val="36"/>
        </w:rPr>
      </w:pPr>
      <w:bookmarkStart w:id="13" w:name="_Toc173767788"/>
      <w:r w:rsidRPr="00B21F07">
        <w:rPr>
          <w:b/>
          <w:bCs/>
          <w:sz w:val="32"/>
          <w:szCs w:val="32"/>
        </w:rPr>
        <w:t>Kulud</w:t>
      </w:r>
      <w:bookmarkEnd w:id="13"/>
    </w:p>
    <w:p w14:paraId="48DCACEA" w14:textId="77777777" w:rsidR="003B5FCD" w:rsidRDefault="003B5FCD" w:rsidP="00C74A35">
      <w:pPr>
        <w:autoSpaceDE w:val="0"/>
        <w:autoSpaceDN w:val="0"/>
        <w:adjustRightInd w:val="0"/>
        <w:spacing w:after="0" w:line="240" w:lineRule="auto"/>
        <w:rPr>
          <w:rFonts w:ascii="Arial" w:hAnsi="Arial" w:cs="Arial"/>
          <w:color w:val="000000"/>
          <w:sz w:val="24"/>
          <w:szCs w:val="24"/>
        </w:rPr>
      </w:pPr>
    </w:p>
    <w:p w14:paraId="046BD640" w14:textId="77A9D1A5" w:rsidR="00C74A35" w:rsidRDefault="00C74A35" w:rsidP="0043488E">
      <w:pPr>
        <w:autoSpaceDE w:val="0"/>
        <w:autoSpaceDN w:val="0"/>
        <w:adjustRightInd w:val="0"/>
        <w:spacing w:after="0" w:line="240" w:lineRule="auto"/>
        <w:jc w:val="both"/>
        <w:rPr>
          <w:rFonts w:ascii="Arial" w:hAnsi="Arial" w:cs="Arial"/>
          <w:color w:val="000000"/>
          <w:sz w:val="24"/>
          <w:szCs w:val="24"/>
        </w:rPr>
      </w:pPr>
      <w:r w:rsidRPr="00C07481">
        <w:rPr>
          <w:rFonts w:ascii="Arial" w:hAnsi="Arial" w:cs="Arial"/>
          <w:sz w:val="24"/>
          <w:szCs w:val="24"/>
        </w:rPr>
        <w:t>Põhitegevus</w:t>
      </w:r>
      <w:r w:rsidRPr="00C74A35">
        <w:rPr>
          <w:rFonts w:ascii="Arial" w:hAnsi="Arial" w:cs="Arial"/>
          <w:color w:val="000000"/>
          <w:sz w:val="24"/>
          <w:szCs w:val="24"/>
        </w:rPr>
        <w:t xml:space="preserve">e kuludena käsitletakse eelarvestrateegias tulenevalt KOFS-i regulatsioonist järgmisi kulusid: 1) antavad toetused; 2) muud tegevuskulud. </w:t>
      </w:r>
    </w:p>
    <w:p w14:paraId="0ED5D83E" w14:textId="04E64823" w:rsidR="006C2C71" w:rsidRPr="00C74A35" w:rsidRDefault="008112A6" w:rsidP="0043488E">
      <w:pPr>
        <w:autoSpaceDE w:val="0"/>
        <w:autoSpaceDN w:val="0"/>
        <w:adjustRightInd w:val="0"/>
        <w:spacing w:after="0" w:line="240" w:lineRule="auto"/>
        <w:jc w:val="both"/>
        <w:rPr>
          <w:rFonts w:ascii="Arial" w:hAnsi="Arial" w:cs="Arial"/>
          <w:color w:val="000000"/>
          <w:sz w:val="24"/>
          <w:szCs w:val="24"/>
        </w:rPr>
      </w:pPr>
      <w:r w:rsidRPr="008112A6">
        <w:rPr>
          <w:rFonts w:ascii="Arial" w:hAnsi="Arial" w:cs="Arial"/>
          <w:color w:val="000000"/>
          <w:sz w:val="24"/>
          <w:szCs w:val="24"/>
        </w:rPr>
        <w:t>Tartu valla 202</w:t>
      </w:r>
      <w:r w:rsidR="00A60721">
        <w:rPr>
          <w:rFonts w:ascii="Arial" w:hAnsi="Arial" w:cs="Arial"/>
          <w:color w:val="000000"/>
          <w:sz w:val="24"/>
          <w:szCs w:val="24"/>
        </w:rPr>
        <w:t>4</w:t>
      </w:r>
      <w:r w:rsidRPr="008112A6">
        <w:rPr>
          <w:rFonts w:ascii="Arial" w:hAnsi="Arial" w:cs="Arial"/>
          <w:color w:val="000000"/>
          <w:sz w:val="24"/>
          <w:szCs w:val="24"/>
        </w:rPr>
        <w:t>. aasta eelarve</w:t>
      </w:r>
      <w:r>
        <w:rPr>
          <w:rFonts w:ascii="Arial" w:hAnsi="Arial" w:cs="Arial"/>
          <w:color w:val="000000"/>
          <w:sz w:val="24"/>
          <w:szCs w:val="24"/>
        </w:rPr>
        <w:t xml:space="preserve"> põhitegevuse kulud on </w:t>
      </w:r>
      <w:r w:rsidR="00F9250F">
        <w:rPr>
          <w:rFonts w:ascii="Arial" w:hAnsi="Arial" w:cs="Arial"/>
          <w:color w:val="000000"/>
          <w:sz w:val="24"/>
          <w:szCs w:val="24"/>
        </w:rPr>
        <w:t>2</w:t>
      </w:r>
      <w:r w:rsidR="00A60721">
        <w:rPr>
          <w:rFonts w:ascii="Arial" w:hAnsi="Arial" w:cs="Arial"/>
          <w:color w:val="000000"/>
          <w:sz w:val="24"/>
          <w:szCs w:val="24"/>
        </w:rPr>
        <w:t>8</w:t>
      </w:r>
      <w:r w:rsidR="00F9250F">
        <w:rPr>
          <w:rFonts w:ascii="Arial" w:hAnsi="Arial" w:cs="Arial"/>
          <w:color w:val="000000"/>
          <w:sz w:val="24"/>
          <w:szCs w:val="24"/>
        </w:rPr>
        <w:t>,</w:t>
      </w:r>
      <w:r w:rsidR="009F4ECB">
        <w:rPr>
          <w:rFonts w:ascii="Arial" w:hAnsi="Arial" w:cs="Arial"/>
          <w:color w:val="000000"/>
          <w:sz w:val="24"/>
          <w:szCs w:val="24"/>
        </w:rPr>
        <w:t>7</w:t>
      </w:r>
      <w:r w:rsidR="002D402D">
        <w:rPr>
          <w:rFonts w:ascii="Arial" w:hAnsi="Arial" w:cs="Arial"/>
          <w:color w:val="000000"/>
          <w:sz w:val="24"/>
          <w:szCs w:val="24"/>
        </w:rPr>
        <w:t xml:space="preserve"> </w:t>
      </w:r>
      <w:r w:rsidR="00F9250F">
        <w:rPr>
          <w:rFonts w:ascii="Arial" w:hAnsi="Arial" w:cs="Arial"/>
          <w:color w:val="000000"/>
          <w:sz w:val="24"/>
          <w:szCs w:val="24"/>
        </w:rPr>
        <w:t xml:space="preserve">miljonit eurot, põhitegevuse tulem </w:t>
      </w:r>
      <w:r w:rsidR="009F4ECB">
        <w:rPr>
          <w:rFonts w:ascii="Arial" w:hAnsi="Arial" w:cs="Arial"/>
          <w:color w:val="000000"/>
          <w:sz w:val="24"/>
          <w:szCs w:val="24"/>
        </w:rPr>
        <w:t>3,1</w:t>
      </w:r>
      <w:r w:rsidR="002D402D">
        <w:rPr>
          <w:rFonts w:ascii="Arial" w:hAnsi="Arial" w:cs="Arial"/>
          <w:color w:val="000000"/>
          <w:sz w:val="24"/>
          <w:szCs w:val="24"/>
        </w:rPr>
        <w:t xml:space="preserve"> </w:t>
      </w:r>
      <w:r w:rsidR="00F9250F">
        <w:rPr>
          <w:rFonts w:ascii="Arial" w:hAnsi="Arial" w:cs="Arial"/>
          <w:color w:val="000000"/>
          <w:sz w:val="24"/>
          <w:szCs w:val="24"/>
        </w:rPr>
        <w:t xml:space="preserve">miljonit eurot ja </w:t>
      </w:r>
      <w:r w:rsidR="00453359">
        <w:rPr>
          <w:rFonts w:ascii="Arial" w:hAnsi="Arial" w:cs="Arial"/>
          <w:color w:val="000000"/>
          <w:sz w:val="24"/>
          <w:szCs w:val="24"/>
        </w:rPr>
        <w:t>kohustuste tasumine 1,</w:t>
      </w:r>
      <w:r w:rsidR="0023036F">
        <w:rPr>
          <w:rFonts w:ascii="Arial" w:hAnsi="Arial" w:cs="Arial"/>
          <w:color w:val="000000"/>
          <w:sz w:val="24"/>
          <w:szCs w:val="24"/>
        </w:rPr>
        <w:t>96</w:t>
      </w:r>
      <w:r w:rsidR="002D402D">
        <w:rPr>
          <w:rFonts w:ascii="Arial" w:hAnsi="Arial" w:cs="Arial"/>
          <w:color w:val="000000"/>
          <w:sz w:val="24"/>
          <w:szCs w:val="24"/>
        </w:rPr>
        <w:t xml:space="preserve"> </w:t>
      </w:r>
      <w:r w:rsidR="00453359">
        <w:rPr>
          <w:rFonts w:ascii="Arial" w:hAnsi="Arial" w:cs="Arial"/>
          <w:color w:val="000000"/>
          <w:sz w:val="24"/>
          <w:szCs w:val="24"/>
        </w:rPr>
        <w:t>miljonit eurot.</w:t>
      </w:r>
    </w:p>
    <w:p w14:paraId="383594AC" w14:textId="0EC4E86F" w:rsidR="00BD7AC9" w:rsidRDefault="0023036F" w:rsidP="0043488E">
      <w:pPr>
        <w:spacing w:line="240" w:lineRule="auto"/>
        <w:jc w:val="both"/>
        <w:rPr>
          <w:rFonts w:ascii="Arial" w:hAnsi="Arial" w:cs="Arial"/>
          <w:color w:val="000000"/>
          <w:sz w:val="24"/>
          <w:szCs w:val="24"/>
        </w:rPr>
      </w:pPr>
      <w:r>
        <w:rPr>
          <w:rFonts w:ascii="Arial" w:hAnsi="Arial" w:cs="Arial"/>
          <w:color w:val="000000"/>
          <w:sz w:val="24"/>
          <w:szCs w:val="24"/>
        </w:rPr>
        <w:lastRenderedPageBreak/>
        <w:t>S</w:t>
      </w:r>
      <w:r w:rsidR="00C74A35" w:rsidRPr="00936C66">
        <w:rPr>
          <w:rFonts w:ascii="Arial" w:hAnsi="Arial" w:cs="Arial"/>
          <w:color w:val="000000"/>
          <w:sz w:val="24"/>
          <w:szCs w:val="24"/>
        </w:rPr>
        <w:t>uured investeeringud infrastruktuuri toovad kaasa lisanduvad personali</w:t>
      </w:r>
      <w:r w:rsidR="00BD04B1">
        <w:rPr>
          <w:rFonts w:ascii="Arial" w:hAnsi="Arial" w:cs="Arial"/>
          <w:color w:val="000000"/>
          <w:sz w:val="24"/>
          <w:szCs w:val="24"/>
        </w:rPr>
        <w:t>-</w:t>
      </w:r>
      <w:r w:rsidR="00C74A35" w:rsidRPr="00936C66">
        <w:rPr>
          <w:rFonts w:ascii="Arial" w:hAnsi="Arial" w:cs="Arial"/>
          <w:color w:val="000000"/>
          <w:sz w:val="24"/>
          <w:szCs w:val="24"/>
        </w:rPr>
        <w:t xml:space="preserve"> ja majandamiskulu</w:t>
      </w:r>
      <w:r w:rsidR="00BD04B1">
        <w:rPr>
          <w:rFonts w:ascii="Arial" w:hAnsi="Arial" w:cs="Arial"/>
          <w:color w:val="000000"/>
          <w:sz w:val="24"/>
          <w:szCs w:val="24"/>
        </w:rPr>
        <w:t>si</w:t>
      </w:r>
      <w:r w:rsidR="00C74A35" w:rsidRPr="00936C66">
        <w:rPr>
          <w:rFonts w:ascii="Arial" w:hAnsi="Arial" w:cs="Arial"/>
          <w:color w:val="000000"/>
          <w:sz w:val="24"/>
          <w:szCs w:val="24"/>
        </w:rPr>
        <w:t>d.</w:t>
      </w:r>
    </w:p>
    <w:p w14:paraId="50B17FB4" w14:textId="0FE26295" w:rsidR="008609E9" w:rsidRPr="00BC6257" w:rsidRDefault="008609E9" w:rsidP="00C74A35">
      <w:pPr>
        <w:rPr>
          <w:rFonts w:ascii="Arial" w:hAnsi="Arial" w:cs="Arial"/>
          <w:color w:val="000000"/>
        </w:rPr>
      </w:pPr>
      <w:r w:rsidRPr="00BC6257">
        <w:rPr>
          <w:rFonts w:ascii="Arial" w:hAnsi="Arial" w:cs="Arial"/>
          <w:color w:val="000000"/>
        </w:rPr>
        <w:t xml:space="preserve">Tabel </w:t>
      </w:r>
      <w:r w:rsidR="00BC6257" w:rsidRPr="00BC6257">
        <w:rPr>
          <w:rFonts w:ascii="Arial" w:hAnsi="Arial" w:cs="Arial"/>
          <w:color w:val="000000"/>
        </w:rPr>
        <w:t>9</w:t>
      </w:r>
      <w:r w:rsidRPr="00BC6257">
        <w:rPr>
          <w:rFonts w:ascii="Arial" w:hAnsi="Arial" w:cs="Arial"/>
          <w:color w:val="000000"/>
        </w:rPr>
        <w:t>. Põhitegevuse kulud (202</w:t>
      </w:r>
      <w:r w:rsidR="00F500C5">
        <w:rPr>
          <w:rFonts w:ascii="Arial" w:hAnsi="Arial" w:cs="Arial"/>
          <w:color w:val="000000"/>
        </w:rPr>
        <w:t>3</w:t>
      </w:r>
      <w:r w:rsidRPr="00BC6257">
        <w:rPr>
          <w:rFonts w:ascii="Arial" w:hAnsi="Arial" w:cs="Arial"/>
          <w:color w:val="000000"/>
        </w:rPr>
        <w:t>-202</w:t>
      </w:r>
      <w:r w:rsidR="00F500C5">
        <w:rPr>
          <w:rFonts w:ascii="Arial" w:hAnsi="Arial" w:cs="Arial"/>
          <w:color w:val="000000"/>
        </w:rPr>
        <w:t>8</w:t>
      </w:r>
      <w:r w:rsidRPr="00BC6257">
        <w:rPr>
          <w:rFonts w:ascii="Arial" w:hAnsi="Arial" w:cs="Arial"/>
          <w:color w:val="000000"/>
        </w:rPr>
        <w:t>)</w:t>
      </w:r>
    </w:p>
    <w:p w14:paraId="2EB53EBC" w14:textId="044FF4CB" w:rsidR="00911D10" w:rsidRPr="00936C66" w:rsidRDefault="00DC4DF3" w:rsidP="00C74A35">
      <w:pPr>
        <w:rPr>
          <w:rFonts w:ascii="Arial" w:hAnsi="Arial" w:cs="Arial"/>
          <w:sz w:val="24"/>
          <w:szCs w:val="24"/>
        </w:rPr>
      </w:pPr>
      <w:r w:rsidRPr="00DC4DF3">
        <w:drawing>
          <wp:inline distT="0" distB="0" distL="0" distR="0" wp14:anchorId="7146FD71" wp14:editId="35255010">
            <wp:extent cx="5760720" cy="1647190"/>
            <wp:effectExtent l="0" t="0" r="0" b="0"/>
            <wp:docPr id="2040934433"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647190"/>
                    </a:xfrm>
                    <a:prstGeom prst="rect">
                      <a:avLst/>
                    </a:prstGeom>
                    <a:noFill/>
                    <a:ln>
                      <a:noFill/>
                    </a:ln>
                  </pic:spPr>
                </pic:pic>
              </a:graphicData>
            </a:graphic>
          </wp:inline>
        </w:drawing>
      </w:r>
    </w:p>
    <w:p w14:paraId="49866279" w14:textId="3B9B6B76" w:rsidR="005B0379" w:rsidRDefault="005B0379" w:rsidP="00CE7C85">
      <w:pPr>
        <w:autoSpaceDE w:val="0"/>
        <w:autoSpaceDN w:val="0"/>
        <w:adjustRightInd w:val="0"/>
        <w:spacing w:after="0" w:line="240" w:lineRule="auto"/>
        <w:jc w:val="both"/>
        <w:rPr>
          <w:rFonts w:ascii="Arial" w:hAnsi="Arial" w:cs="Arial"/>
          <w:color w:val="000000"/>
          <w:sz w:val="24"/>
          <w:szCs w:val="24"/>
        </w:rPr>
      </w:pPr>
      <w:r w:rsidRPr="005B0379">
        <w:rPr>
          <w:rFonts w:ascii="Arial" w:hAnsi="Arial" w:cs="Arial"/>
          <w:color w:val="000000"/>
          <w:sz w:val="24"/>
          <w:szCs w:val="24"/>
        </w:rPr>
        <w:t xml:space="preserve">Põhitegevuse kulud on prognoositud järgmistel eeldustel: </w:t>
      </w:r>
    </w:p>
    <w:p w14:paraId="547674D1" w14:textId="77777777" w:rsidR="005B0379" w:rsidRPr="005B0379" w:rsidRDefault="005B0379" w:rsidP="00CE7C85">
      <w:pPr>
        <w:autoSpaceDE w:val="0"/>
        <w:autoSpaceDN w:val="0"/>
        <w:adjustRightInd w:val="0"/>
        <w:spacing w:after="0" w:line="240" w:lineRule="auto"/>
        <w:jc w:val="both"/>
        <w:rPr>
          <w:rFonts w:ascii="Arial" w:hAnsi="Arial" w:cs="Arial"/>
          <w:color w:val="000000"/>
          <w:sz w:val="24"/>
          <w:szCs w:val="24"/>
        </w:rPr>
      </w:pPr>
    </w:p>
    <w:p w14:paraId="437C95F2" w14:textId="0D79C500" w:rsidR="005B0379" w:rsidRPr="00891E28" w:rsidRDefault="005B0379" w:rsidP="00CE7C85">
      <w:pPr>
        <w:pStyle w:val="Loendilik"/>
        <w:numPr>
          <w:ilvl w:val="0"/>
          <w:numId w:val="9"/>
        </w:numPr>
        <w:autoSpaceDE w:val="0"/>
        <w:autoSpaceDN w:val="0"/>
        <w:adjustRightInd w:val="0"/>
        <w:spacing w:after="44" w:line="240" w:lineRule="auto"/>
        <w:jc w:val="both"/>
        <w:rPr>
          <w:rFonts w:ascii="Arial" w:hAnsi="Arial" w:cs="Arial"/>
          <w:color w:val="000000"/>
          <w:sz w:val="24"/>
          <w:szCs w:val="24"/>
        </w:rPr>
      </w:pPr>
      <w:r w:rsidRPr="00891E28">
        <w:rPr>
          <w:rFonts w:ascii="Arial" w:hAnsi="Arial" w:cs="Arial"/>
          <w:color w:val="000000"/>
          <w:sz w:val="24"/>
          <w:szCs w:val="24"/>
        </w:rPr>
        <w:t>personalikulud suurene</w:t>
      </w:r>
      <w:r w:rsidR="001463B1">
        <w:rPr>
          <w:rFonts w:ascii="Arial" w:hAnsi="Arial" w:cs="Arial"/>
          <w:color w:val="000000"/>
          <w:sz w:val="24"/>
          <w:szCs w:val="24"/>
        </w:rPr>
        <w:t>sid 202</w:t>
      </w:r>
      <w:r w:rsidR="005D4E2C">
        <w:rPr>
          <w:rFonts w:ascii="Arial" w:hAnsi="Arial" w:cs="Arial"/>
          <w:color w:val="000000"/>
          <w:sz w:val="24"/>
          <w:szCs w:val="24"/>
        </w:rPr>
        <w:t>4</w:t>
      </w:r>
      <w:r w:rsidR="001F3971">
        <w:rPr>
          <w:rFonts w:ascii="Arial" w:hAnsi="Arial" w:cs="Arial"/>
          <w:color w:val="000000"/>
          <w:sz w:val="24"/>
          <w:szCs w:val="24"/>
        </w:rPr>
        <w:t xml:space="preserve">. </w:t>
      </w:r>
      <w:r w:rsidR="001463B1">
        <w:rPr>
          <w:rFonts w:ascii="Arial" w:hAnsi="Arial" w:cs="Arial"/>
          <w:color w:val="000000"/>
          <w:sz w:val="24"/>
          <w:szCs w:val="24"/>
        </w:rPr>
        <w:t>aasta</w:t>
      </w:r>
      <w:r w:rsidR="004A49F2">
        <w:rPr>
          <w:rFonts w:ascii="Arial" w:hAnsi="Arial" w:cs="Arial"/>
          <w:color w:val="000000"/>
          <w:sz w:val="24"/>
          <w:szCs w:val="24"/>
        </w:rPr>
        <w:t xml:space="preserve"> eelarves </w:t>
      </w:r>
      <w:r w:rsidR="00344F7A">
        <w:rPr>
          <w:rFonts w:ascii="Arial" w:hAnsi="Arial" w:cs="Arial"/>
          <w:color w:val="000000"/>
          <w:sz w:val="24"/>
          <w:szCs w:val="24"/>
        </w:rPr>
        <w:t>9</w:t>
      </w:r>
      <w:r w:rsidR="004A49F2">
        <w:rPr>
          <w:rFonts w:ascii="Arial" w:hAnsi="Arial" w:cs="Arial"/>
          <w:color w:val="000000"/>
          <w:sz w:val="24"/>
          <w:szCs w:val="24"/>
        </w:rPr>
        <w:t>% ja 2024</w:t>
      </w:r>
      <w:r w:rsidR="001F3971">
        <w:rPr>
          <w:rFonts w:ascii="Arial" w:hAnsi="Arial" w:cs="Arial"/>
          <w:color w:val="000000"/>
          <w:sz w:val="24"/>
          <w:szCs w:val="24"/>
        </w:rPr>
        <w:t xml:space="preserve">. </w:t>
      </w:r>
      <w:r w:rsidR="004A49F2">
        <w:rPr>
          <w:rFonts w:ascii="Arial" w:hAnsi="Arial" w:cs="Arial"/>
          <w:color w:val="000000"/>
          <w:sz w:val="24"/>
          <w:szCs w:val="24"/>
        </w:rPr>
        <w:t>aastaks on prognoos</w:t>
      </w:r>
      <w:r w:rsidR="00D75846">
        <w:rPr>
          <w:rFonts w:ascii="Arial" w:hAnsi="Arial" w:cs="Arial"/>
          <w:color w:val="000000"/>
          <w:sz w:val="24"/>
          <w:szCs w:val="24"/>
        </w:rPr>
        <w:t xml:space="preserve">is kasv </w:t>
      </w:r>
      <w:r w:rsidR="00344F7A">
        <w:rPr>
          <w:rFonts w:ascii="Arial" w:hAnsi="Arial" w:cs="Arial"/>
          <w:color w:val="000000"/>
          <w:sz w:val="24"/>
          <w:szCs w:val="24"/>
        </w:rPr>
        <w:t>6</w:t>
      </w:r>
      <w:r w:rsidR="004A49F2">
        <w:rPr>
          <w:rFonts w:ascii="Arial" w:hAnsi="Arial" w:cs="Arial"/>
          <w:color w:val="000000"/>
          <w:sz w:val="24"/>
          <w:szCs w:val="24"/>
        </w:rPr>
        <w:t>%</w:t>
      </w:r>
      <w:r w:rsidR="00D75846">
        <w:rPr>
          <w:rFonts w:ascii="Arial" w:hAnsi="Arial" w:cs="Arial"/>
          <w:color w:val="000000"/>
          <w:sz w:val="24"/>
          <w:szCs w:val="24"/>
        </w:rPr>
        <w:t>.</w:t>
      </w:r>
      <w:r w:rsidR="004A49F2">
        <w:rPr>
          <w:rFonts w:ascii="Arial" w:hAnsi="Arial" w:cs="Arial"/>
          <w:color w:val="000000"/>
          <w:sz w:val="24"/>
          <w:szCs w:val="24"/>
        </w:rPr>
        <w:t xml:space="preserve"> </w:t>
      </w:r>
      <w:r w:rsidR="00D75846">
        <w:rPr>
          <w:rFonts w:ascii="Arial" w:hAnsi="Arial" w:cs="Arial"/>
          <w:color w:val="000000"/>
          <w:sz w:val="24"/>
          <w:szCs w:val="24"/>
        </w:rPr>
        <w:t>E</w:t>
      </w:r>
      <w:r w:rsidR="004A49F2">
        <w:rPr>
          <w:rFonts w:ascii="Arial" w:hAnsi="Arial" w:cs="Arial"/>
          <w:color w:val="000000"/>
          <w:sz w:val="24"/>
          <w:szCs w:val="24"/>
        </w:rPr>
        <w:t>daspidi</w:t>
      </w:r>
      <w:r w:rsidR="00ED3C1B">
        <w:rPr>
          <w:rFonts w:ascii="Arial" w:hAnsi="Arial" w:cs="Arial"/>
          <w:color w:val="000000"/>
          <w:sz w:val="24"/>
          <w:szCs w:val="24"/>
        </w:rPr>
        <w:t xml:space="preserve"> on personalikulude kasv</w:t>
      </w:r>
      <w:r w:rsidR="00072033">
        <w:rPr>
          <w:rFonts w:ascii="Arial" w:hAnsi="Arial" w:cs="Arial"/>
          <w:color w:val="000000"/>
          <w:sz w:val="24"/>
          <w:szCs w:val="24"/>
        </w:rPr>
        <w:t>uprognoos</w:t>
      </w:r>
      <w:r w:rsidR="00ED3C1B">
        <w:rPr>
          <w:rFonts w:ascii="Arial" w:hAnsi="Arial" w:cs="Arial"/>
          <w:color w:val="000000"/>
          <w:sz w:val="24"/>
          <w:szCs w:val="24"/>
        </w:rPr>
        <w:t xml:space="preserve"> </w:t>
      </w:r>
      <w:r w:rsidRPr="00891E28">
        <w:rPr>
          <w:rFonts w:ascii="Arial" w:hAnsi="Arial" w:cs="Arial"/>
          <w:color w:val="000000"/>
          <w:sz w:val="24"/>
          <w:szCs w:val="24"/>
        </w:rPr>
        <w:t>aastas</w:t>
      </w:r>
      <w:r w:rsidR="00ED3C1B">
        <w:rPr>
          <w:rFonts w:ascii="Arial" w:hAnsi="Arial" w:cs="Arial"/>
          <w:color w:val="000000"/>
          <w:sz w:val="24"/>
          <w:szCs w:val="24"/>
        </w:rPr>
        <w:t xml:space="preserve"> ca </w:t>
      </w:r>
      <w:r w:rsidR="00344F7A">
        <w:rPr>
          <w:rFonts w:ascii="Arial" w:hAnsi="Arial" w:cs="Arial"/>
          <w:color w:val="000000"/>
          <w:sz w:val="24"/>
          <w:szCs w:val="24"/>
        </w:rPr>
        <w:t>6</w:t>
      </w:r>
      <w:r w:rsidR="00ED3C1B">
        <w:rPr>
          <w:rFonts w:ascii="Arial" w:hAnsi="Arial" w:cs="Arial"/>
          <w:color w:val="000000"/>
          <w:sz w:val="24"/>
          <w:szCs w:val="24"/>
        </w:rPr>
        <w:t>%, mis</w:t>
      </w:r>
      <w:r w:rsidR="004804EA">
        <w:rPr>
          <w:rFonts w:ascii="Arial" w:hAnsi="Arial" w:cs="Arial"/>
          <w:color w:val="000000"/>
          <w:sz w:val="24"/>
          <w:szCs w:val="24"/>
        </w:rPr>
        <w:t xml:space="preserve"> on sarnane</w:t>
      </w:r>
      <w:r w:rsidRPr="00891E28">
        <w:rPr>
          <w:rFonts w:ascii="Arial" w:hAnsi="Arial" w:cs="Arial"/>
          <w:color w:val="000000"/>
          <w:sz w:val="24"/>
          <w:szCs w:val="24"/>
        </w:rPr>
        <w:t xml:space="preserve"> </w:t>
      </w:r>
      <w:r w:rsidR="004149B8">
        <w:rPr>
          <w:rFonts w:ascii="Arial" w:hAnsi="Arial" w:cs="Arial"/>
          <w:color w:val="000000"/>
          <w:sz w:val="24"/>
          <w:szCs w:val="24"/>
        </w:rPr>
        <w:t>R</w:t>
      </w:r>
      <w:r w:rsidRPr="00891E28">
        <w:rPr>
          <w:rFonts w:ascii="Arial" w:hAnsi="Arial" w:cs="Arial"/>
          <w:color w:val="000000"/>
          <w:sz w:val="24"/>
          <w:szCs w:val="24"/>
        </w:rPr>
        <w:t>ahandusministeeriumi riikliku keskmise palgakasvu prognoosi</w:t>
      </w:r>
      <w:r w:rsidR="004804EA">
        <w:rPr>
          <w:rFonts w:ascii="Arial" w:hAnsi="Arial" w:cs="Arial"/>
          <w:color w:val="000000"/>
          <w:sz w:val="24"/>
          <w:szCs w:val="24"/>
        </w:rPr>
        <w:t>ga</w:t>
      </w:r>
      <w:r w:rsidR="004F549C">
        <w:rPr>
          <w:rFonts w:ascii="Arial" w:hAnsi="Arial" w:cs="Arial"/>
          <w:color w:val="000000"/>
          <w:sz w:val="24"/>
          <w:szCs w:val="24"/>
        </w:rPr>
        <w:t xml:space="preserve"> </w:t>
      </w:r>
      <w:r w:rsidR="00183E1A">
        <w:rPr>
          <w:rFonts w:ascii="Arial" w:hAnsi="Arial" w:cs="Arial"/>
          <w:color w:val="000000"/>
          <w:sz w:val="24"/>
          <w:szCs w:val="24"/>
        </w:rPr>
        <w:t xml:space="preserve">5%. Personalikulusid suurendab peale palgatõusu veel lisanduvate </w:t>
      </w:r>
      <w:r w:rsidR="00FD6FCE">
        <w:rPr>
          <w:rFonts w:ascii="Arial" w:hAnsi="Arial" w:cs="Arial"/>
          <w:color w:val="000000"/>
          <w:sz w:val="24"/>
          <w:szCs w:val="24"/>
        </w:rPr>
        <w:t xml:space="preserve">töötajate </w:t>
      </w:r>
      <w:r w:rsidR="00320C3A">
        <w:rPr>
          <w:rFonts w:ascii="Arial" w:hAnsi="Arial" w:cs="Arial"/>
          <w:color w:val="000000"/>
          <w:sz w:val="24"/>
          <w:szCs w:val="24"/>
        </w:rPr>
        <w:t xml:space="preserve">arv </w:t>
      </w:r>
      <w:r w:rsidR="00FD6FCE">
        <w:rPr>
          <w:rFonts w:ascii="Arial" w:hAnsi="Arial" w:cs="Arial"/>
          <w:color w:val="000000"/>
          <w:sz w:val="24"/>
          <w:szCs w:val="24"/>
        </w:rPr>
        <w:t xml:space="preserve">(Raadi </w:t>
      </w:r>
      <w:r w:rsidR="004629D2">
        <w:rPr>
          <w:rFonts w:ascii="Arial" w:hAnsi="Arial" w:cs="Arial"/>
          <w:color w:val="000000"/>
          <w:sz w:val="24"/>
          <w:szCs w:val="24"/>
        </w:rPr>
        <w:t>Hariduskeskus</w:t>
      </w:r>
      <w:r w:rsidR="00FD6FCE">
        <w:rPr>
          <w:rFonts w:ascii="Arial" w:hAnsi="Arial" w:cs="Arial"/>
          <w:color w:val="000000"/>
          <w:sz w:val="24"/>
          <w:szCs w:val="24"/>
        </w:rPr>
        <w:t>)</w:t>
      </w:r>
      <w:r w:rsidRPr="00891E28">
        <w:rPr>
          <w:rFonts w:ascii="Arial" w:hAnsi="Arial" w:cs="Arial"/>
          <w:color w:val="000000"/>
          <w:sz w:val="24"/>
          <w:szCs w:val="24"/>
        </w:rPr>
        <w:t xml:space="preserve">; </w:t>
      </w:r>
    </w:p>
    <w:p w14:paraId="1D914486" w14:textId="0410B5CE" w:rsidR="005B0379" w:rsidRPr="005E39D1" w:rsidRDefault="005B0379" w:rsidP="00CE7C85">
      <w:pPr>
        <w:pStyle w:val="Loendilik"/>
        <w:numPr>
          <w:ilvl w:val="0"/>
          <w:numId w:val="9"/>
        </w:numPr>
        <w:autoSpaceDE w:val="0"/>
        <w:autoSpaceDN w:val="0"/>
        <w:adjustRightInd w:val="0"/>
        <w:spacing w:after="44" w:line="240" w:lineRule="auto"/>
        <w:jc w:val="both"/>
        <w:rPr>
          <w:rFonts w:ascii="Arial" w:hAnsi="Arial" w:cs="Arial"/>
          <w:color w:val="000000"/>
          <w:sz w:val="24"/>
          <w:szCs w:val="24"/>
        </w:rPr>
      </w:pPr>
      <w:r w:rsidRPr="005E39D1">
        <w:rPr>
          <w:rFonts w:ascii="Arial" w:hAnsi="Arial" w:cs="Arial"/>
          <w:color w:val="000000"/>
          <w:sz w:val="24"/>
          <w:szCs w:val="24"/>
        </w:rPr>
        <w:t xml:space="preserve">majandamiskulud suurenevad </w:t>
      </w:r>
      <w:r w:rsidR="0086350D">
        <w:rPr>
          <w:rFonts w:ascii="Arial" w:hAnsi="Arial" w:cs="Arial"/>
          <w:color w:val="000000"/>
          <w:sz w:val="24"/>
          <w:szCs w:val="24"/>
        </w:rPr>
        <w:t>202</w:t>
      </w:r>
      <w:r w:rsidR="00D228B6">
        <w:rPr>
          <w:rFonts w:ascii="Arial" w:hAnsi="Arial" w:cs="Arial"/>
          <w:color w:val="000000"/>
          <w:sz w:val="24"/>
          <w:szCs w:val="24"/>
        </w:rPr>
        <w:t>4</w:t>
      </w:r>
      <w:r w:rsidR="00CC5CCD">
        <w:rPr>
          <w:rFonts w:ascii="Arial" w:hAnsi="Arial" w:cs="Arial"/>
          <w:color w:val="000000"/>
          <w:sz w:val="24"/>
          <w:szCs w:val="24"/>
        </w:rPr>
        <w:t xml:space="preserve">. </w:t>
      </w:r>
      <w:r w:rsidR="0086350D">
        <w:rPr>
          <w:rFonts w:ascii="Arial" w:hAnsi="Arial" w:cs="Arial"/>
          <w:color w:val="000000"/>
          <w:sz w:val="24"/>
          <w:szCs w:val="24"/>
        </w:rPr>
        <w:t xml:space="preserve">aasta eelarves </w:t>
      </w:r>
      <w:r w:rsidR="00D228B6">
        <w:rPr>
          <w:rFonts w:ascii="Arial" w:hAnsi="Arial" w:cs="Arial"/>
          <w:color w:val="000000"/>
          <w:sz w:val="24"/>
          <w:szCs w:val="24"/>
        </w:rPr>
        <w:t>4</w:t>
      </w:r>
      <w:r w:rsidR="003D4053">
        <w:rPr>
          <w:rFonts w:ascii="Arial" w:hAnsi="Arial" w:cs="Arial"/>
          <w:color w:val="000000"/>
          <w:sz w:val="24"/>
          <w:szCs w:val="24"/>
        </w:rPr>
        <w:t>% ja 202</w:t>
      </w:r>
      <w:r w:rsidR="00D228B6">
        <w:rPr>
          <w:rFonts w:ascii="Arial" w:hAnsi="Arial" w:cs="Arial"/>
          <w:color w:val="000000"/>
          <w:sz w:val="24"/>
          <w:szCs w:val="24"/>
        </w:rPr>
        <w:t>5</w:t>
      </w:r>
      <w:r w:rsidR="00CC5CCD">
        <w:rPr>
          <w:rFonts w:ascii="Arial" w:hAnsi="Arial" w:cs="Arial"/>
          <w:color w:val="000000"/>
          <w:sz w:val="24"/>
          <w:szCs w:val="24"/>
        </w:rPr>
        <w:t xml:space="preserve">. </w:t>
      </w:r>
      <w:r w:rsidR="003D4053">
        <w:rPr>
          <w:rFonts w:ascii="Arial" w:hAnsi="Arial" w:cs="Arial"/>
          <w:color w:val="000000"/>
          <w:sz w:val="24"/>
          <w:szCs w:val="24"/>
        </w:rPr>
        <w:t>aastaks on prognoos</w:t>
      </w:r>
      <w:r w:rsidR="00CC5CCD">
        <w:rPr>
          <w:rFonts w:ascii="Arial" w:hAnsi="Arial" w:cs="Arial"/>
          <w:color w:val="000000"/>
          <w:sz w:val="24"/>
          <w:szCs w:val="24"/>
        </w:rPr>
        <w:t xml:space="preserve">is kasv </w:t>
      </w:r>
      <w:r w:rsidR="00646135">
        <w:rPr>
          <w:rFonts w:ascii="Arial" w:hAnsi="Arial" w:cs="Arial"/>
          <w:color w:val="000000"/>
          <w:sz w:val="24"/>
          <w:szCs w:val="24"/>
        </w:rPr>
        <w:t>6</w:t>
      </w:r>
      <w:r w:rsidR="003D4053">
        <w:rPr>
          <w:rFonts w:ascii="Arial" w:hAnsi="Arial" w:cs="Arial"/>
          <w:color w:val="000000"/>
          <w:sz w:val="24"/>
          <w:szCs w:val="24"/>
        </w:rPr>
        <w:t>%</w:t>
      </w:r>
      <w:r w:rsidR="00646135">
        <w:rPr>
          <w:rFonts w:ascii="Arial" w:hAnsi="Arial" w:cs="Arial"/>
          <w:color w:val="000000"/>
          <w:sz w:val="24"/>
          <w:szCs w:val="24"/>
        </w:rPr>
        <w:t xml:space="preserve"> (ilmselt tõuseb </w:t>
      </w:r>
      <w:r w:rsidR="00AC6A94">
        <w:rPr>
          <w:rFonts w:ascii="Arial" w:hAnsi="Arial" w:cs="Arial"/>
          <w:color w:val="000000"/>
          <w:sz w:val="24"/>
          <w:szCs w:val="24"/>
        </w:rPr>
        <w:t>käibemaksu baasmäär 2025.a teisel poolaastal)</w:t>
      </w:r>
      <w:r w:rsidR="00943D1D">
        <w:rPr>
          <w:rFonts w:ascii="Arial" w:hAnsi="Arial" w:cs="Arial"/>
          <w:color w:val="000000"/>
          <w:sz w:val="24"/>
          <w:szCs w:val="24"/>
        </w:rPr>
        <w:t>.</w:t>
      </w:r>
      <w:r w:rsidR="003769B8">
        <w:rPr>
          <w:rFonts w:ascii="Arial" w:hAnsi="Arial" w:cs="Arial"/>
          <w:color w:val="000000"/>
          <w:sz w:val="24"/>
          <w:szCs w:val="24"/>
        </w:rPr>
        <w:t xml:space="preserve"> </w:t>
      </w:r>
      <w:r w:rsidR="00943D1D">
        <w:rPr>
          <w:rFonts w:ascii="Arial" w:hAnsi="Arial" w:cs="Arial"/>
          <w:color w:val="000000"/>
          <w:sz w:val="24"/>
          <w:szCs w:val="24"/>
        </w:rPr>
        <w:t xml:space="preserve">Edaspidi </w:t>
      </w:r>
      <w:r w:rsidR="003769B8">
        <w:rPr>
          <w:rFonts w:ascii="Arial" w:hAnsi="Arial" w:cs="Arial"/>
          <w:color w:val="000000"/>
          <w:sz w:val="24"/>
          <w:szCs w:val="24"/>
        </w:rPr>
        <w:t xml:space="preserve">on majandamiskulude </w:t>
      </w:r>
      <w:r w:rsidR="00C35C11">
        <w:rPr>
          <w:rFonts w:ascii="Arial" w:hAnsi="Arial" w:cs="Arial"/>
          <w:color w:val="000000"/>
          <w:sz w:val="24"/>
          <w:szCs w:val="24"/>
        </w:rPr>
        <w:t xml:space="preserve">kasvu </w:t>
      </w:r>
      <w:r w:rsidR="003769B8">
        <w:rPr>
          <w:rFonts w:ascii="Arial" w:hAnsi="Arial" w:cs="Arial"/>
          <w:color w:val="000000"/>
          <w:sz w:val="24"/>
          <w:szCs w:val="24"/>
        </w:rPr>
        <w:t>prognoos</w:t>
      </w:r>
      <w:r w:rsidR="008A5560">
        <w:rPr>
          <w:rFonts w:ascii="Arial" w:hAnsi="Arial" w:cs="Arial"/>
          <w:color w:val="000000"/>
          <w:sz w:val="24"/>
          <w:szCs w:val="24"/>
        </w:rPr>
        <w:t xml:space="preserve"> aastas</w:t>
      </w:r>
      <w:r w:rsidR="00C35C11">
        <w:rPr>
          <w:rFonts w:ascii="Arial" w:hAnsi="Arial" w:cs="Arial"/>
          <w:color w:val="000000"/>
          <w:sz w:val="24"/>
          <w:szCs w:val="24"/>
        </w:rPr>
        <w:t xml:space="preserve"> ca 7%</w:t>
      </w:r>
      <w:r w:rsidR="00763699">
        <w:rPr>
          <w:rFonts w:ascii="Arial" w:hAnsi="Arial" w:cs="Arial"/>
          <w:color w:val="000000"/>
          <w:sz w:val="24"/>
          <w:szCs w:val="24"/>
        </w:rPr>
        <w:t xml:space="preserve"> (seotud uute </w:t>
      </w:r>
      <w:r w:rsidR="00EB5F61">
        <w:rPr>
          <w:rFonts w:ascii="Arial" w:hAnsi="Arial" w:cs="Arial"/>
          <w:color w:val="000000"/>
          <w:sz w:val="24"/>
          <w:szCs w:val="24"/>
        </w:rPr>
        <w:t>hoonete ja rajatiste</w:t>
      </w:r>
      <w:r w:rsidR="00763699">
        <w:rPr>
          <w:rFonts w:ascii="Arial" w:hAnsi="Arial" w:cs="Arial"/>
          <w:color w:val="000000"/>
          <w:sz w:val="24"/>
          <w:szCs w:val="24"/>
        </w:rPr>
        <w:t xml:space="preserve"> lisandumisega)</w:t>
      </w:r>
      <w:r w:rsidRPr="005E39D1">
        <w:rPr>
          <w:rFonts w:ascii="Arial" w:hAnsi="Arial" w:cs="Arial"/>
          <w:color w:val="000000"/>
          <w:sz w:val="24"/>
          <w:szCs w:val="24"/>
        </w:rPr>
        <w:t xml:space="preserve">; </w:t>
      </w:r>
    </w:p>
    <w:p w14:paraId="68FE99D3" w14:textId="7CE490F7" w:rsidR="005B0379" w:rsidRPr="005E39D1" w:rsidRDefault="005B0379" w:rsidP="00CE7C85">
      <w:pPr>
        <w:pStyle w:val="Loendilik"/>
        <w:numPr>
          <w:ilvl w:val="0"/>
          <w:numId w:val="9"/>
        </w:numPr>
        <w:autoSpaceDE w:val="0"/>
        <w:autoSpaceDN w:val="0"/>
        <w:adjustRightInd w:val="0"/>
        <w:spacing w:after="0" w:line="240" w:lineRule="auto"/>
        <w:jc w:val="both"/>
        <w:rPr>
          <w:rFonts w:ascii="Arial" w:hAnsi="Arial" w:cs="Arial"/>
          <w:color w:val="000000"/>
          <w:sz w:val="24"/>
          <w:szCs w:val="24"/>
        </w:rPr>
      </w:pPr>
      <w:r w:rsidRPr="005E39D1">
        <w:rPr>
          <w:rFonts w:ascii="Arial" w:hAnsi="Arial" w:cs="Arial"/>
          <w:color w:val="000000"/>
          <w:sz w:val="24"/>
          <w:szCs w:val="24"/>
        </w:rPr>
        <w:t xml:space="preserve">antavad toetused tegevuskuludeks </w:t>
      </w:r>
      <w:r w:rsidR="002B6D16">
        <w:rPr>
          <w:rFonts w:ascii="Arial" w:hAnsi="Arial" w:cs="Arial"/>
          <w:color w:val="000000"/>
          <w:sz w:val="24"/>
          <w:szCs w:val="24"/>
        </w:rPr>
        <w:t>suurenevad 2024.aasta eelarves 44%. See on seotu</w:t>
      </w:r>
      <w:r w:rsidR="00B87AF4">
        <w:rPr>
          <w:rFonts w:ascii="Arial" w:hAnsi="Arial" w:cs="Arial"/>
          <w:color w:val="000000"/>
          <w:sz w:val="24"/>
          <w:szCs w:val="24"/>
        </w:rPr>
        <w:t>d</w:t>
      </w:r>
      <w:r w:rsidR="002B6D16">
        <w:rPr>
          <w:rFonts w:ascii="Arial" w:hAnsi="Arial" w:cs="Arial"/>
          <w:color w:val="000000"/>
          <w:sz w:val="24"/>
          <w:szCs w:val="24"/>
        </w:rPr>
        <w:t xml:space="preserve"> hooldereformiga, ku</w:t>
      </w:r>
      <w:r w:rsidR="00FD7430">
        <w:rPr>
          <w:rFonts w:ascii="Arial" w:hAnsi="Arial" w:cs="Arial"/>
          <w:color w:val="000000"/>
          <w:sz w:val="24"/>
          <w:szCs w:val="24"/>
        </w:rPr>
        <w:t>na</w:t>
      </w:r>
      <w:r w:rsidR="002B6D16">
        <w:rPr>
          <w:rFonts w:ascii="Arial" w:hAnsi="Arial" w:cs="Arial"/>
          <w:color w:val="000000"/>
          <w:sz w:val="24"/>
          <w:szCs w:val="24"/>
        </w:rPr>
        <w:t xml:space="preserve"> </w:t>
      </w:r>
      <w:r w:rsidR="00BF6FB5">
        <w:rPr>
          <w:rFonts w:ascii="Arial" w:hAnsi="Arial" w:cs="Arial"/>
          <w:color w:val="000000"/>
          <w:sz w:val="24"/>
          <w:szCs w:val="24"/>
        </w:rPr>
        <w:t xml:space="preserve"> varem </w:t>
      </w:r>
      <w:r w:rsidR="003763EC">
        <w:rPr>
          <w:rFonts w:ascii="Arial" w:hAnsi="Arial" w:cs="Arial"/>
          <w:color w:val="000000"/>
          <w:sz w:val="24"/>
          <w:szCs w:val="24"/>
        </w:rPr>
        <w:t xml:space="preserve">hooldekodude </w:t>
      </w:r>
      <w:r w:rsidR="00B9398C">
        <w:rPr>
          <w:rFonts w:ascii="Arial" w:hAnsi="Arial" w:cs="Arial"/>
          <w:color w:val="000000"/>
          <w:sz w:val="24"/>
          <w:szCs w:val="24"/>
        </w:rPr>
        <w:t>kohatasusid kajastati majandamiskulude eelarves</w:t>
      </w:r>
      <w:r w:rsidR="00DF474E">
        <w:rPr>
          <w:rFonts w:ascii="Arial" w:hAnsi="Arial" w:cs="Arial"/>
          <w:color w:val="000000"/>
          <w:sz w:val="24"/>
          <w:szCs w:val="24"/>
        </w:rPr>
        <w:t>, kuid nüüd</w:t>
      </w:r>
      <w:r w:rsidR="003763EC">
        <w:rPr>
          <w:rFonts w:ascii="Arial" w:hAnsi="Arial" w:cs="Arial"/>
          <w:color w:val="000000"/>
          <w:sz w:val="24"/>
          <w:szCs w:val="24"/>
        </w:rPr>
        <w:t xml:space="preserve"> </w:t>
      </w:r>
      <w:r w:rsidR="00DF474E">
        <w:rPr>
          <w:rFonts w:ascii="Arial" w:hAnsi="Arial" w:cs="Arial"/>
          <w:color w:val="000000"/>
          <w:sz w:val="24"/>
          <w:szCs w:val="24"/>
        </w:rPr>
        <w:t>t</w:t>
      </w:r>
      <w:r w:rsidR="003763EC">
        <w:rPr>
          <w:rFonts w:ascii="Arial" w:hAnsi="Arial" w:cs="Arial"/>
          <w:color w:val="000000"/>
          <w:sz w:val="24"/>
          <w:szCs w:val="24"/>
        </w:rPr>
        <w:t>oetuste</w:t>
      </w:r>
      <w:r w:rsidR="00DF474E">
        <w:rPr>
          <w:rFonts w:ascii="Arial" w:hAnsi="Arial" w:cs="Arial"/>
          <w:color w:val="000000"/>
          <w:sz w:val="24"/>
          <w:szCs w:val="24"/>
        </w:rPr>
        <w:t xml:space="preserve"> eelarves</w:t>
      </w:r>
      <w:r w:rsidR="00B87AF4">
        <w:rPr>
          <w:rFonts w:ascii="Arial" w:hAnsi="Arial" w:cs="Arial"/>
          <w:color w:val="000000"/>
          <w:sz w:val="24"/>
          <w:szCs w:val="24"/>
        </w:rPr>
        <w:t>.</w:t>
      </w:r>
      <w:r w:rsidR="004629D2">
        <w:rPr>
          <w:rFonts w:ascii="Arial" w:hAnsi="Arial" w:cs="Arial"/>
          <w:color w:val="000000"/>
          <w:sz w:val="24"/>
          <w:szCs w:val="24"/>
        </w:rPr>
        <w:t xml:space="preserve"> </w:t>
      </w:r>
      <w:r w:rsidR="00BA43C1">
        <w:rPr>
          <w:rFonts w:ascii="Arial" w:hAnsi="Arial" w:cs="Arial"/>
          <w:color w:val="000000"/>
          <w:sz w:val="24"/>
          <w:szCs w:val="24"/>
        </w:rPr>
        <w:t xml:space="preserve">Edaspidi suurenevad toetused </w:t>
      </w:r>
      <w:r w:rsidR="004629D2">
        <w:rPr>
          <w:rFonts w:ascii="Arial" w:hAnsi="Arial" w:cs="Arial"/>
          <w:color w:val="000000"/>
          <w:sz w:val="24"/>
          <w:szCs w:val="24"/>
        </w:rPr>
        <w:t>ca 5%.</w:t>
      </w:r>
      <w:r w:rsidR="00B87AF4">
        <w:rPr>
          <w:rFonts w:ascii="Arial" w:hAnsi="Arial" w:cs="Arial"/>
          <w:color w:val="000000"/>
          <w:sz w:val="24"/>
          <w:szCs w:val="24"/>
        </w:rPr>
        <w:t xml:space="preserve"> M</w:t>
      </w:r>
      <w:r w:rsidRPr="005E39D1">
        <w:rPr>
          <w:rFonts w:ascii="Arial" w:hAnsi="Arial" w:cs="Arial"/>
          <w:color w:val="000000"/>
          <w:sz w:val="24"/>
          <w:szCs w:val="24"/>
        </w:rPr>
        <w:t xml:space="preserve">uud kulud </w:t>
      </w:r>
      <w:r w:rsidR="00180343">
        <w:rPr>
          <w:rFonts w:ascii="Arial" w:hAnsi="Arial" w:cs="Arial"/>
          <w:color w:val="000000"/>
          <w:sz w:val="24"/>
          <w:szCs w:val="24"/>
        </w:rPr>
        <w:t>jäävad 202</w:t>
      </w:r>
      <w:r w:rsidR="00B87AF4">
        <w:rPr>
          <w:rFonts w:ascii="Arial" w:hAnsi="Arial" w:cs="Arial"/>
          <w:color w:val="000000"/>
          <w:sz w:val="24"/>
          <w:szCs w:val="24"/>
        </w:rPr>
        <w:t>4</w:t>
      </w:r>
      <w:r w:rsidR="00406988">
        <w:rPr>
          <w:rFonts w:ascii="Arial" w:hAnsi="Arial" w:cs="Arial"/>
          <w:color w:val="000000"/>
          <w:sz w:val="24"/>
          <w:szCs w:val="24"/>
        </w:rPr>
        <w:t xml:space="preserve">. </w:t>
      </w:r>
      <w:r w:rsidR="00180343">
        <w:rPr>
          <w:rFonts w:ascii="Arial" w:hAnsi="Arial" w:cs="Arial"/>
          <w:color w:val="000000"/>
          <w:sz w:val="24"/>
          <w:szCs w:val="24"/>
        </w:rPr>
        <w:t>aasta eelarve tasemele</w:t>
      </w:r>
      <w:r w:rsidRPr="005E39D1">
        <w:rPr>
          <w:rFonts w:ascii="Arial" w:hAnsi="Arial" w:cs="Arial"/>
          <w:color w:val="000000"/>
          <w:sz w:val="24"/>
          <w:szCs w:val="24"/>
        </w:rPr>
        <w:t xml:space="preserve">. </w:t>
      </w:r>
    </w:p>
    <w:p w14:paraId="0A6028FE" w14:textId="77777777" w:rsidR="005B0379" w:rsidRPr="005B0379" w:rsidRDefault="005B0379" w:rsidP="00CE7C85">
      <w:pPr>
        <w:autoSpaceDE w:val="0"/>
        <w:autoSpaceDN w:val="0"/>
        <w:adjustRightInd w:val="0"/>
        <w:spacing w:after="0" w:line="240" w:lineRule="auto"/>
        <w:jc w:val="both"/>
        <w:rPr>
          <w:rFonts w:ascii="Arial" w:hAnsi="Arial" w:cs="Arial"/>
          <w:color w:val="000000"/>
          <w:sz w:val="24"/>
          <w:szCs w:val="24"/>
        </w:rPr>
      </w:pPr>
    </w:p>
    <w:p w14:paraId="1824A3BA" w14:textId="31063160" w:rsidR="00BD7AC9" w:rsidRDefault="00CB7FD1" w:rsidP="00CE7C8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Strateegia perioodil on kulude kasv keskmiselt 6% aastas.</w:t>
      </w:r>
      <w:r w:rsidR="001D33C8">
        <w:rPr>
          <w:rFonts w:ascii="Arial" w:hAnsi="Arial" w:cs="Arial"/>
          <w:color w:val="000000"/>
          <w:sz w:val="24"/>
          <w:szCs w:val="24"/>
        </w:rPr>
        <w:t xml:space="preserve"> </w:t>
      </w:r>
      <w:r w:rsidR="005B0379" w:rsidRPr="005B0379">
        <w:rPr>
          <w:rFonts w:ascii="Arial" w:hAnsi="Arial" w:cs="Arial"/>
          <w:color w:val="000000"/>
          <w:sz w:val="24"/>
          <w:szCs w:val="24"/>
        </w:rPr>
        <w:t>Põhitegevuse kulud suurenevad aastaks 202</w:t>
      </w:r>
      <w:r w:rsidR="005D4469">
        <w:rPr>
          <w:rFonts w:ascii="Arial" w:hAnsi="Arial" w:cs="Arial"/>
          <w:color w:val="000000"/>
          <w:sz w:val="24"/>
          <w:szCs w:val="24"/>
        </w:rPr>
        <w:t>8</w:t>
      </w:r>
      <w:r w:rsidR="005B0379" w:rsidRPr="005B0379">
        <w:rPr>
          <w:rFonts w:ascii="Arial" w:hAnsi="Arial" w:cs="Arial"/>
          <w:color w:val="000000"/>
          <w:sz w:val="24"/>
          <w:szCs w:val="24"/>
        </w:rPr>
        <w:t xml:space="preserve"> </w:t>
      </w:r>
      <w:r w:rsidR="006E3565">
        <w:rPr>
          <w:rFonts w:ascii="Arial" w:hAnsi="Arial" w:cs="Arial"/>
          <w:color w:val="000000"/>
          <w:sz w:val="24"/>
          <w:szCs w:val="24"/>
        </w:rPr>
        <w:t>ca</w:t>
      </w:r>
      <w:r w:rsidR="005B0379" w:rsidRPr="005B0379">
        <w:rPr>
          <w:rFonts w:ascii="Arial" w:hAnsi="Arial" w:cs="Arial"/>
          <w:color w:val="000000"/>
          <w:sz w:val="24"/>
          <w:szCs w:val="24"/>
        </w:rPr>
        <w:t xml:space="preserve"> </w:t>
      </w:r>
      <w:r w:rsidR="006E3565">
        <w:rPr>
          <w:rFonts w:ascii="Arial" w:hAnsi="Arial" w:cs="Arial"/>
          <w:color w:val="000000"/>
          <w:sz w:val="24"/>
          <w:szCs w:val="24"/>
        </w:rPr>
        <w:t>36</w:t>
      </w:r>
      <w:r w:rsidR="005B0379" w:rsidRPr="005B0379">
        <w:rPr>
          <w:rFonts w:ascii="Arial" w:hAnsi="Arial" w:cs="Arial"/>
          <w:color w:val="000000"/>
          <w:sz w:val="24"/>
          <w:szCs w:val="24"/>
        </w:rPr>
        <w:t xml:space="preserve"> miljoni euroni</w:t>
      </w:r>
      <w:r w:rsidR="00E64B73">
        <w:rPr>
          <w:rFonts w:ascii="Arial" w:hAnsi="Arial" w:cs="Arial"/>
          <w:color w:val="000000"/>
          <w:sz w:val="24"/>
          <w:szCs w:val="24"/>
        </w:rPr>
        <w:t>,</w:t>
      </w:r>
      <w:r w:rsidR="006E3565">
        <w:rPr>
          <w:rFonts w:ascii="Arial" w:hAnsi="Arial" w:cs="Arial"/>
          <w:color w:val="000000"/>
          <w:sz w:val="24"/>
          <w:szCs w:val="24"/>
        </w:rPr>
        <w:t xml:space="preserve"> põhitegevuse tulem </w:t>
      </w:r>
      <w:r w:rsidR="00805AEF">
        <w:rPr>
          <w:rFonts w:ascii="Arial" w:hAnsi="Arial" w:cs="Arial"/>
          <w:color w:val="000000"/>
          <w:sz w:val="24"/>
          <w:szCs w:val="24"/>
        </w:rPr>
        <w:t>8,7</w:t>
      </w:r>
      <w:r w:rsidR="00406988">
        <w:rPr>
          <w:rFonts w:ascii="Arial" w:hAnsi="Arial" w:cs="Arial"/>
          <w:color w:val="000000"/>
          <w:sz w:val="24"/>
          <w:szCs w:val="24"/>
        </w:rPr>
        <w:t xml:space="preserve"> </w:t>
      </w:r>
      <w:r w:rsidR="00805AEF">
        <w:rPr>
          <w:rFonts w:ascii="Arial" w:hAnsi="Arial" w:cs="Arial"/>
          <w:color w:val="000000"/>
          <w:sz w:val="24"/>
          <w:szCs w:val="24"/>
        </w:rPr>
        <w:t>miljoni euroni ja kohustustuste tasumine 3,9</w:t>
      </w:r>
      <w:r w:rsidR="00406988">
        <w:rPr>
          <w:rFonts w:ascii="Arial" w:hAnsi="Arial" w:cs="Arial"/>
          <w:color w:val="000000"/>
          <w:sz w:val="24"/>
          <w:szCs w:val="24"/>
        </w:rPr>
        <w:t xml:space="preserve"> </w:t>
      </w:r>
      <w:r w:rsidR="00805AEF">
        <w:rPr>
          <w:rFonts w:ascii="Arial" w:hAnsi="Arial" w:cs="Arial"/>
          <w:color w:val="000000"/>
          <w:sz w:val="24"/>
          <w:szCs w:val="24"/>
        </w:rPr>
        <w:t>miljoni euroni.</w:t>
      </w:r>
    </w:p>
    <w:p w14:paraId="2D0FCD22" w14:textId="77777777" w:rsidR="002B77FF" w:rsidRPr="005B0379" w:rsidRDefault="002B77FF" w:rsidP="00CE7C85">
      <w:pPr>
        <w:autoSpaceDE w:val="0"/>
        <w:autoSpaceDN w:val="0"/>
        <w:adjustRightInd w:val="0"/>
        <w:spacing w:after="0" w:line="240" w:lineRule="auto"/>
        <w:jc w:val="both"/>
        <w:rPr>
          <w:rFonts w:ascii="Arial" w:hAnsi="Arial" w:cs="Arial"/>
          <w:color w:val="000000"/>
          <w:sz w:val="24"/>
          <w:szCs w:val="24"/>
        </w:rPr>
      </w:pPr>
    </w:p>
    <w:p w14:paraId="455C40C2" w14:textId="3E48DFCA" w:rsidR="002B77FF" w:rsidRPr="002B77FF" w:rsidRDefault="002B77FF" w:rsidP="00CE7C85">
      <w:pPr>
        <w:spacing w:line="240" w:lineRule="auto"/>
        <w:jc w:val="both"/>
        <w:rPr>
          <w:rFonts w:ascii="Arial" w:hAnsi="Arial" w:cs="Arial"/>
          <w:sz w:val="24"/>
          <w:szCs w:val="24"/>
        </w:rPr>
      </w:pPr>
      <w:r w:rsidRPr="002B77FF">
        <w:rPr>
          <w:rFonts w:ascii="Arial" w:hAnsi="Arial" w:cs="Arial"/>
          <w:sz w:val="24"/>
          <w:szCs w:val="24"/>
        </w:rPr>
        <w:t xml:space="preserve">Tabelis </w:t>
      </w:r>
      <w:r w:rsidR="00805AEF">
        <w:rPr>
          <w:rFonts w:ascii="Arial" w:hAnsi="Arial" w:cs="Arial"/>
          <w:sz w:val="24"/>
          <w:szCs w:val="24"/>
        </w:rPr>
        <w:t>9</w:t>
      </w:r>
      <w:r w:rsidRPr="002B77FF">
        <w:rPr>
          <w:rFonts w:ascii="Arial" w:hAnsi="Arial" w:cs="Arial"/>
          <w:sz w:val="24"/>
          <w:szCs w:val="24"/>
        </w:rPr>
        <w:t xml:space="preserve"> toodud põhitegevuse kulude majandamiskulude alajaotuse mahus nähakse igal aastal valla eelarves </w:t>
      </w:r>
      <w:r w:rsidR="0023547F">
        <w:rPr>
          <w:rFonts w:ascii="Arial" w:hAnsi="Arial" w:cs="Arial"/>
          <w:sz w:val="24"/>
          <w:szCs w:val="24"/>
        </w:rPr>
        <w:t>muuhulgas</w:t>
      </w:r>
      <w:r w:rsidRPr="002B77FF">
        <w:rPr>
          <w:rFonts w:ascii="Arial" w:hAnsi="Arial" w:cs="Arial"/>
          <w:sz w:val="24"/>
          <w:szCs w:val="24"/>
        </w:rPr>
        <w:t xml:space="preserve"> kulud valla põhitegevuse tagamiseks (elekter, side, vesi- ja kanalisatsioon, koristus, prügivedu, valveteenus, töö- ja õppevahendid, valla teede ja avalike alade hooldus, audiitorteenused ja muud sellised teenused või asjad, mille tellimine on vajalik, et tagada valla seadusest tulenevate kohustuslike ülesannete täitmine). Eelpoolnimetatud kululiikide lõikes on vallavalitsusel õigus sõlmida lepinguid ilma täiendava volikogu</w:t>
      </w:r>
      <w:r w:rsidR="00563383">
        <w:rPr>
          <w:rFonts w:ascii="Arial" w:hAnsi="Arial" w:cs="Arial"/>
          <w:sz w:val="24"/>
          <w:szCs w:val="24"/>
        </w:rPr>
        <w:t xml:space="preserve"> </w:t>
      </w:r>
      <w:r w:rsidRPr="002B77FF">
        <w:rPr>
          <w:rFonts w:ascii="Arial" w:hAnsi="Arial" w:cs="Arial"/>
          <w:sz w:val="24"/>
          <w:szCs w:val="24"/>
        </w:rPr>
        <w:t>poolse nõusolekuta ning loetakse täidetuks KOFS nõue</w:t>
      </w:r>
      <w:r w:rsidR="00563383">
        <w:rPr>
          <w:rFonts w:ascii="Arial" w:hAnsi="Arial" w:cs="Arial"/>
          <w:sz w:val="24"/>
          <w:szCs w:val="24"/>
        </w:rPr>
        <w:t xml:space="preserve"> -</w:t>
      </w:r>
      <w:r w:rsidRPr="002B77FF">
        <w:rPr>
          <w:rFonts w:ascii="Arial" w:hAnsi="Arial" w:cs="Arial"/>
          <w:sz w:val="24"/>
          <w:szCs w:val="24"/>
        </w:rPr>
        <w:t xml:space="preserve"> kajastada eelarvestrateegias tulevaste aastate väljaminekud eelnimetatud majandamiskulude lõikes.</w:t>
      </w:r>
    </w:p>
    <w:p w14:paraId="70CA54B4" w14:textId="77777777" w:rsidR="00CE7C85" w:rsidRDefault="00CE7C85" w:rsidP="002B77FF">
      <w:pPr>
        <w:rPr>
          <w:rFonts w:ascii="Arial" w:hAnsi="Arial" w:cs="Arial"/>
        </w:rPr>
      </w:pPr>
    </w:p>
    <w:p w14:paraId="06592811" w14:textId="77777777" w:rsidR="00FC57CD" w:rsidRDefault="00FC57CD" w:rsidP="002B77FF">
      <w:pPr>
        <w:rPr>
          <w:rFonts w:ascii="Arial" w:hAnsi="Arial" w:cs="Arial"/>
        </w:rPr>
      </w:pPr>
    </w:p>
    <w:p w14:paraId="5B7ACD5A" w14:textId="77777777" w:rsidR="00FC57CD" w:rsidRDefault="00FC57CD" w:rsidP="002B77FF">
      <w:pPr>
        <w:rPr>
          <w:rFonts w:ascii="Arial" w:hAnsi="Arial" w:cs="Arial"/>
        </w:rPr>
      </w:pPr>
    </w:p>
    <w:p w14:paraId="021A666C" w14:textId="77777777" w:rsidR="00CE7C85" w:rsidRDefault="00CE7C85" w:rsidP="002B77FF">
      <w:pPr>
        <w:rPr>
          <w:rFonts w:ascii="Arial" w:hAnsi="Arial" w:cs="Arial"/>
        </w:rPr>
      </w:pPr>
    </w:p>
    <w:p w14:paraId="0801F554" w14:textId="49BD4C0F" w:rsidR="00FA7432" w:rsidRPr="00EB70CA" w:rsidRDefault="00FA7432" w:rsidP="002B77FF">
      <w:pPr>
        <w:rPr>
          <w:rFonts w:ascii="Arial" w:hAnsi="Arial" w:cs="Arial"/>
        </w:rPr>
      </w:pPr>
      <w:r w:rsidRPr="00EB70CA">
        <w:rPr>
          <w:rFonts w:ascii="Arial" w:hAnsi="Arial" w:cs="Arial"/>
        </w:rPr>
        <w:lastRenderedPageBreak/>
        <w:t xml:space="preserve">Tabel </w:t>
      </w:r>
      <w:r w:rsidR="009D75DA">
        <w:rPr>
          <w:rFonts w:ascii="Arial" w:hAnsi="Arial" w:cs="Arial"/>
        </w:rPr>
        <w:t>10</w:t>
      </w:r>
      <w:r w:rsidRPr="00EB70CA">
        <w:rPr>
          <w:rFonts w:ascii="Arial" w:hAnsi="Arial" w:cs="Arial"/>
        </w:rPr>
        <w:t>. Põhitegevuse tulem</w:t>
      </w:r>
      <w:r w:rsidR="00EB70CA">
        <w:rPr>
          <w:rFonts w:ascii="Arial" w:hAnsi="Arial" w:cs="Arial"/>
        </w:rPr>
        <w:t xml:space="preserve"> ja kohustiste </w:t>
      </w:r>
      <w:r w:rsidR="009D75DA">
        <w:rPr>
          <w:rFonts w:ascii="Arial" w:hAnsi="Arial" w:cs="Arial"/>
        </w:rPr>
        <w:t>tasumise võimekus</w:t>
      </w:r>
      <w:r w:rsidRPr="00EB70CA">
        <w:rPr>
          <w:rFonts w:ascii="Arial" w:hAnsi="Arial" w:cs="Arial"/>
        </w:rPr>
        <w:t xml:space="preserve"> (202</w:t>
      </w:r>
      <w:r w:rsidR="00D17101">
        <w:rPr>
          <w:rFonts w:ascii="Arial" w:hAnsi="Arial" w:cs="Arial"/>
        </w:rPr>
        <w:t>3</w:t>
      </w:r>
      <w:r w:rsidRPr="00EB70CA">
        <w:rPr>
          <w:rFonts w:ascii="Arial" w:hAnsi="Arial" w:cs="Arial"/>
        </w:rPr>
        <w:t>-202</w:t>
      </w:r>
      <w:r w:rsidR="00D17101">
        <w:rPr>
          <w:rFonts w:ascii="Arial" w:hAnsi="Arial" w:cs="Arial"/>
        </w:rPr>
        <w:t>8</w:t>
      </w:r>
      <w:r w:rsidRPr="00EB70CA">
        <w:rPr>
          <w:rFonts w:ascii="Arial" w:hAnsi="Arial" w:cs="Arial"/>
        </w:rPr>
        <w:t>)</w:t>
      </w:r>
    </w:p>
    <w:p w14:paraId="7B8CE94C" w14:textId="6732B9DC" w:rsidR="00DB5CCC" w:rsidRDefault="005D4469" w:rsidP="002B77FF">
      <w:pPr>
        <w:rPr>
          <w:rFonts w:ascii="Arial" w:hAnsi="Arial" w:cs="Arial"/>
          <w:sz w:val="24"/>
          <w:szCs w:val="24"/>
        </w:rPr>
      </w:pPr>
      <w:r w:rsidRPr="005D4469">
        <w:drawing>
          <wp:inline distT="0" distB="0" distL="0" distR="0" wp14:anchorId="7B933BF3" wp14:editId="421CA0E8">
            <wp:extent cx="5760720" cy="1928495"/>
            <wp:effectExtent l="0" t="0" r="0" b="0"/>
            <wp:docPr id="198129317"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928495"/>
                    </a:xfrm>
                    <a:prstGeom prst="rect">
                      <a:avLst/>
                    </a:prstGeom>
                    <a:noFill/>
                    <a:ln>
                      <a:noFill/>
                    </a:ln>
                  </pic:spPr>
                </pic:pic>
              </a:graphicData>
            </a:graphic>
          </wp:inline>
        </w:drawing>
      </w:r>
    </w:p>
    <w:p w14:paraId="7ADACD3A" w14:textId="3CF2BA0B" w:rsidR="00FC57CD" w:rsidRDefault="00FC57CD" w:rsidP="00FC57CD">
      <w:pPr>
        <w:spacing w:line="240" w:lineRule="auto"/>
        <w:jc w:val="both"/>
        <w:rPr>
          <w:rFonts w:ascii="Arial" w:hAnsi="Arial" w:cs="Arial"/>
          <w:sz w:val="24"/>
          <w:szCs w:val="24"/>
        </w:rPr>
      </w:pPr>
      <w:r w:rsidRPr="002B77FF">
        <w:rPr>
          <w:rFonts w:ascii="Arial" w:hAnsi="Arial" w:cs="Arial"/>
          <w:sz w:val="24"/>
          <w:szCs w:val="24"/>
        </w:rPr>
        <w:t>Põhitegevuse tulem on põhitegevuse tulude ja põhitegevuse kulude vahe, mille väärtus aruandeaasta lõpu seisuga peab olema null või positiivne. Eelarvestrateegia perioodil ületavad tulud kulu</w:t>
      </w:r>
      <w:r w:rsidR="00434E25">
        <w:rPr>
          <w:rFonts w:ascii="Arial" w:hAnsi="Arial" w:cs="Arial"/>
          <w:sz w:val="24"/>
          <w:szCs w:val="24"/>
        </w:rPr>
        <w:t>sid</w:t>
      </w:r>
      <w:r w:rsidRPr="002B77FF">
        <w:rPr>
          <w:rFonts w:ascii="Arial" w:hAnsi="Arial" w:cs="Arial"/>
          <w:sz w:val="24"/>
          <w:szCs w:val="24"/>
        </w:rPr>
        <w:t xml:space="preserve"> igal aastal</w:t>
      </w:r>
      <w:r w:rsidR="00434E25">
        <w:rPr>
          <w:rFonts w:ascii="Arial" w:hAnsi="Arial" w:cs="Arial"/>
          <w:sz w:val="24"/>
          <w:szCs w:val="24"/>
        </w:rPr>
        <w:t>.</w:t>
      </w:r>
      <w:r w:rsidRPr="002B77FF">
        <w:rPr>
          <w:rFonts w:ascii="Arial" w:hAnsi="Arial" w:cs="Arial"/>
          <w:sz w:val="24"/>
          <w:szCs w:val="24"/>
        </w:rPr>
        <w:t xml:space="preserve"> </w:t>
      </w:r>
      <w:r w:rsidR="00434E25">
        <w:rPr>
          <w:rFonts w:ascii="Arial" w:hAnsi="Arial" w:cs="Arial"/>
          <w:sz w:val="24"/>
          <w:szCs w:val="24"/>
        </w:rPr>
        <w:t>T</w:t>
      </w:r>
      <w:r w:rsidRPr="002B77FF">
        <w:rPr>
          <w:rFonts w:ascii="Arial" w:hAnsi="Arial" w:cs="Arial"/>
          <w:sz w:val="24"/>
          <w:szCs w:val="24"/>
        </w:rPr>
        <w:t>ulemi suhe tuludesse on kasvav.</w:t>
      </w:r>
    </w:p>
    <w:p w14:paraId="243F3E4F" w14:textId="7837FFA1" w:rsidR="0047178A" w:rsidRDefault="00674321" w:rsidP="0017617E">
      <w:pPr>
        <w:spacing w:line="240" w:lineRule="auto"/>
        <w:jc w:val="both"/>
        <w:rPr>
          <w:rFonts w:ascii="Arial" w:hAnsi="Arial" w:cs="Arial"/>
          <w:sz w:val="24"/>
          <w:szCs w:val="24"/>
        </w:rPr>
      </w:pPr>
      <w:r w:rsidRPr="00674321">
        <w:rPr>
          <w:rFonts w:ascii="Arial" w:hAnsi="Arial" w:cs="Arial"/>
          <w:sz w:val="24"/>
          <w:szCs w:val="24"/>
        </w:rPr>
        <w:t xml:space="preserve">Strateegia eesmärgiks on põhitegevuse tulude-kulude ülejäägi saavutamine võimalikult suurel määral, sest see on eelduseks valla investeerimisvõimekuse säilimisele ja kasvule. </w:t>
      </w:r>
      <w:r w:rsidR="00B73ADF">
        <w:rPr>
          <w:rFonts w:ascii="Arial" w:hAnsi="Arial" w:cs="Arial"/>
          <w:sz w:val="24"/>
          <w:szCs w:val="24"/>
        </w:rPr>
        <w:t xml:space="preserve">Kui </w:t>
      </w:r>
      <w:r w:rsidR="00003F87">
        <w:rPr>
          <w:rFonts w:ascii="Arial" w:hAnsi="Arial" w:cs="Arial"/>
          <w:sz w:val="24"/>
          <w:szCs w:val="24"/>
        </w:rPr>
        <w:t>10 kord</w:t>
      </w:r>
      <w:r w:rsidR="00D667CF">
        <w:rPr>
          <w:rFonts w:ascii="Arial" w:hAnsi="Arial" w:cs="Arial"/>
          <w:sz w:val="24"/>
          <w:szCs w:val="24"/>
        </w:rPr>
        <w:t>s</w:t>
      </w:r>
      <w:r w:rsidR="00003F87">
        <w:rPr>
          <w:rFonts w:ascii="Arial" w:hAnsi="Arial" w:cs="Arial"/>
          <w:sz w:val="24"/>
          <w:szCs w:val="24"/>
        </w:rPr>
        <w:t xml:space="preserve">e </w:t>
      </w:r>
      <w:r w:rsidR="000E637E">
        <w:rPr>
          <w:rFonts w:ascii="Arial" w:hAnsi="Arial" w:cs="Arial"/>
          <w:sz w:val="24"/>
          <w:szCs w:val="24"/>
        </w:rPr>
        <w:t xml:space="preserve">põhitegevuse </w:t>
      </w:r>
      <w:r w:rsidRPr="00674321">
        <w:rPr>
          <w:rFonts w:ascii="Arial" w:hAnsi="Arial" w:cs="Arial"/>
          <w:sz w:val="24"/>
          <w:szCs w:val="24"/>
        </w:rPr>
        <w:t>tulem</w:t>
      </w:r>
      <w:r w:rsidR="00910D75">
        <w:rPr>
          <w:rFonts w:ascii="Arial" w:hAnsi="Arial" w:cs="Arial"/>
          <w:sz w:val="24"/>
          <w:szCs w:val="24"/>
        </w:rPr>
        <w:t>i suhe</w:t>
      </w:r>
      <w:r w:rsidRPr="00674321">
        <w:rPr>
          <w:rFonts w:ascii="Arial" w:hAnsi="Arial" w:cs="Arial"/>
          <w:sz w:val="24"/>
          <w:szCs w:val="24"/>
        </w:rPr>
        <w:t xml:space="preserve"> tuludesse on suurem</w:t>
      </w:r>
      <w:r w:rsidR="005A1CD9">
        <w:rPr>
          <w:rFonts w:ascii="Arial" w:hAnsi="Arial" w:cs="Arial"/>
          <w:sz w:val="24"/>
          <w:szCs w:val="24"/>
        </w:rPr>
        <w:t>/võrdne</w:t>
      </w:r>
      <w:r w:rsidRPr="00674321">
        <w:rPr>
          <w:rFonts w:ascii="Arial" w:hAnsi="Arial" w:cs="Arial"/>
          <w:sz w:val="24"/>
          <w:szCs w:val="24"/>
        </w:rPr>
        <w:t xml:space="preserve"> </w:t>
      </w:r>
      <w:r w:rsidR="00910D75">
        <w:rPr>
          <w:rFonts w:ascii="Arial" w:hAnsi="Arial" w:cs="Arial"/>
          <w:sz w:val="24"/>
          <w:szCs w:val="24"/>
        </w:rPr>
        <w:t>1</w:t>
      </w:r>
      <w:r w:rsidR="007C79EE">
        <w:rPr>
          <w:rFonts w:ascii="Arial" w:hAnsi="Arial" w:cs="Arial"/>
          <w:sz w:val="24"/>
          <w:szCs w:val="24"/>
        </w:rPr>
        <w:t>-ga</w:t>
      </w:r>
      <w:r w:rsidR="00910D75">
        <w:rPr>
          <w:rFonts w:ascii="Arial" w:hAnsi="Arial" w:cs="Arial"/>
          <w:sz w:val="24"/>
          <w:szCs w:val="24"/>
        </w:rPr>
        <w:t>,</w:t>
      </w:r>
      <w:r w:rsidR="00812C30">
        <w:rPr>
          <w:rFonts w:ascii="Arial" w:hAnsi="Arial" w:cs="Arial"/>
          <w:sz w:val="24"/>
          <w:szCs w:val="24"/>
        </w:rPr>
        <w:t xml:space="preserve"> </w:t>
      </w:r>
      <w:r w:rsidR="008A7ACB">
        <w:rPr>
          <w:rFonts w:ascii="Arial" w:hAnsi="Arial" w:cs="Arial"/>
          <w:sz w:val="24"/>
          <w:szCs w:val="24"/>
        </w:rPr>
        <w:t>siis</w:t>
      </w:r>
      <w:r w:rsidR="00910D75">
        <w:rPr>
          <w:rFonts w:ascii="Arial" w:hAnsi="Arial" w:cs="Arial"/>
          <w:sz w:val="24"/>
          <w:szCs w:val="24"/>
        </w:rPr>
        <w:t xml:space="preserve"> </w:t>
      </w:r>
      <w:r w:rsidRPr="00674321">
        <w:rPr>
          <w:rFonts w:ascii="Arial" w:hAnsi="Arial" w:cs="Arial"/>
          <w:sz w:val="24"/>
          <w:szCs w:val="24"/>
        </w:rPr>
        <w:t>on maksimaalseks netovõlakoormuse ülempiiriks 100% põhitegevuse tuludest</w:t>
      </w:r>
      <w:r w:rsidR="00306BF5">
        <w:rPr>
          <w:rFonts w:ascii="Arial" w:hAnsi="Arial" w:cs="Arial"/>
          <w:sz w:val="24"/>
          <w:szCs w:val="24"/>
        </w:rPr>
        <w:t>, st võrdub põhitegevuse tulude summaga antud aastal.</w:t>
      </w:r>
      <w:r w:rsidR="00583169">
        <w:rPr>
          <w:rFonts w:ascii="Arial" w:hAnsi="Arial" w:cs="Arial"/>
          <w:sz w:val="24"/>
          <w:szCs w:val="24"/>
        </w:rPr>
        <w:t xml:space="preserve"> See näitaja on oluline</w:t>
      </w:r>
      <w:r w:rsidR="0055493E">
        <w:rPr>
          <w:rFonts w:ascii="Arial" w:hAnsi="Arial" w:cs="Arial"/>
          <w:sz w:val="24"/>
          <w:szCs w:val="24"/>
        </w:rPr>
        <w:t>, kuna</w:t>
      </w:r>
      <w:r w:rsidR="00583169">
        <w:rPr>
          <w:rFonts w:ascii="Arial" w:hAnsi="Arial" w:cs="Arial"/>
          <w:sz w:val="24"/>
          <w:szCs w:val="24"/>
        </w:rPr>
        <w:t xml:space="preserve"> see näitab </w:t>
      </w:r>
      <w:r w:rsidR="00FB6E2A">
        <w:rPr>
          <w:rFonts w:ascii="Arial" w:hAnsi="Arial" w:cs="Arial"/>
          <w:sz w:val="24"/>
          <w:szCs w:val="24"/>
        </w:rPr>
        <w:t>KOV võimekust teenindada võetu</w:t>
      </w:r>
      <w:r w:rsidR="0055493E">
        <w:rPr>
          <w:rFonts w:ascii="Arial" w:hAnsi="Arial" w:cs="Arial"/>
          <w:sz w:val="24"/>
          <w:szCs w:val="24"/>
        </w:rPr>
        <w:t>d</w:t>
      </w:r>
      <w:r w:rsidR="00FB6E2A">
        <w:rPr>
          <w:rFonts w:ascii="Arial" w:hAnsi="Arial" w:cs="Arial"/>
          <w:sz w:val="24"/>
          <w:szCs w:val="24"/>
        </w:rPr>
        <w:t xml:space="preserve"> laenukohustusi</w:t>
      </w:r>
      <w:r w:rsidR="002F7E58">
        <w:rPr>
          <w:rFonts w:ascii="Arial" w:hAnsi="Arial" w:cs="Arial"/>
          <w:sz w:val="24"/>
          <w:szCs w:val="24"/>
        </w:rPr>
        <w:t xml:space="preserve"> ja laenuintresse</w:t>
      </w:r>
      <w:r w:rsidR="00FB6E2A">
        <w:rPr>
          <w:rFonts w:ascii="Arial" w:hAnsi="Arial" w:cs="Arial"/>
          <w:sz w:val="24"/>
          <w:szCs w:val="24"/>
        </w:rPr>
        <w:t xml:space="preserve">. </w:t>
      </w:r>
    </w:p>
    <w:p w14:paraId="63E8271E" w14:textId="255EE335" w:rsidR="00130DB4" w:rsidRPr="00B21F07" w:rsidRDefault="00130DB4" w:rsidP="00992BE1">
      <w:pPr>
        <w:pStyle w:val="Pealkiri2"/>
        <w:numPr>
          <w:ilvl w:val="0"/>
          <w:numId w:val="16"/>
        </w:numPr>
        <w:rPr>
          <w:b/>
          <w:bCs/>
          <w:sz w:val="32"/>
          <w:szCs w:val="32"/>
        </w:rPr>
      </w:pPr>
      <w:bookmarkStart w:id="14" w:name="_Toc173767789"/>
      <w:r w:rsidRPr="00B21F07">
        <w:rPr>
          <w:b/>
          <w:bCs/>
          <w:sz w:val="32"/>
          <w:szCs w:val="32"/>
        </w:rPr>
        <w:t>Investeerimis</w:t>
      </w:r>
      <w:r w:rsidR="00EC0ECE" w:rsidRPr="00B21F07">
        <w:rPr>
          <w:b/>
          <w:bCs/>
          <w:sz w:val="32"/>
          <w:szCs w:val="32"/>
        </w:rPr>
        <w:t>t</w:t>
      </w:r>
      <w:r w:rsidRPr="00B21F07">
        <w:rPr>
          <w:b/>
          <w:bCs/>
          <w:sz w:val="32"/>
          <w:szCs w:val="32"/>
        </w:rPr>
        <w:t>egevus</w:t>
      </w:r>
      <w:bookmarkEnd w:id="14"/>
    </w:p>
    <w:p w14:paraId="64006D0D" w14:textId="77777777" w:rsidR="00510250" w:rsidRDefault="00510250" w:rsidP="00130DB4">
      <w:pPr>
        <w:rPr>
          <w:rFonts w:ascii="Arial" w:hAnsi="Arial" w:cs="Arial"/>
          <w:sz w:val="24"/>
          <w:szCs w:val="24"/>
        </w:rPr>
      </w:pPr>
    </w:p>
    <w:p w14:paraId="5C31A66E" w14:textId="4BA715E9" w:rsidR="00130DB4" w:rsidRPr="00130DB4" w:rsidRDefault="00130DB4" w:rsidP="00592901">
      <w:pPr>
        <w:spacing w:line="240" w:lineRule="auto"/>
        <w:jc w:val="both"/>
        <w:rPr>
          <w:rFonts w:ascii="Arial" w:hAnsi="Arial" w:cs="Arial"/>
          <w:sz w:val="24"/>
          <w:szCs w:val="24"/>
        </w:rPr>
      </w:pPr>
      <w:r w:rsidRPr="00130DB4">
        <w:rPr>
          <w:rFonts w:ascii="Arial" w:hAnsi="Arial" w:cs="Arial"/>
          <w:sz w:val="24"/>
          <w:szCs w:val="24"/>
        </w:rPr>
        <w:t xml:space="preserve">Investeerimistegevuse rahavoogudes käsitletakse eelarvestrateegias tulenevalt KOFS-i regulatsioonist järgmisi elemente: 1) põhivara </w:t>
      </w:r>
      <w:r w:rsidR="00EC3F8E">
        <w:rPr>
          <w:rFonts w:ascii="Arial" w:hAnsi="Arial" w:cs="Arial"/>
          <w:sz w:val="24"/>
          <w:szCs w:val="24"/>
        </w:rPr>
        <w:t>müük</w:t>
      </w:r>
      <w:r w:rsidRPr="00130DB4">
        <w:rPr>
          <w:rFonts w:ascii="Arial" w:hAnsi="Arial" w:cs="Arial"/>
          <w:sz w:val="24"/>
          <w:szCs w:val="24"/>
        </w:rPr>
        <w:t xml:space="preserve">; 2) põhivara </w:t>
      </w:r>
      <w:r w:rsidR="00EC3F8E">
        <w:rPr>
          <w:rFonts w:ascii="Arial" w:hAnsi="Arial" w:cs="Arial"/>
          <w:sz w:val="24"/>
          <w:szCs w:val="24"/>
        </w:rPr>
        <w:t>soetus</w:t>
      </w:r>
      <w:r w:rsidRPr="00130DB4">
        <w:rPr>
          <w:rFonts w:ascii="Arial" w:hAnsi="Arial" w:cs="Arial"/>
          <w:sz w:val="24"/>
          <w:szCs w:val="24"/>
        </w:rPr>
        <w:t>; 3) põhivara soetuseks saadav sihtfinantseerimine; 4) põhivara soetuseks antav sihtfinantseerimine; 5) osaluste</w:t>
      </w:r>
      <w:r w:rsidR="005C07F9">
        <w:rPr>
          <w:rFonts w:ascii="Arial" w:hAnsi="Arial" w:cs="Arial"/>
          <w:sz w:val="24"/>
          <w:szCs w:val="24"/>
        </w:rPr>
        <w:t xml:space="preserve"> </w:t>
      </w:r>
      <w:r w:rsidR="007F7A48">
        <w:rPr>
          <w:rFonts w:ascii="Arial" w:hAnsi="Arial" w:cs="Arial"/>
          <w:sz w:val="24"/>
          <w:szCs w:val="24"/>
        </w:rPr>
        <w:t>ning</w:t>
      </w:r>
      <w:r w:rsidR="005C07F9">
        <w:rPr>
          <w:rFonts w:ascii="Arial" w:hAnsi="Arial" w:cs="Arial"/>
          <w:sz w:val="24"/>
          <w:szCs w:val="24"/>
        </w:rPr>
        <w:t xml:space="preserve"> muude a</w:t>
      </w:r>
      <w:r w:rsidR="007F7A48">
        <w:rPr>
          <w:rFonts w:ascii="Arial" w:hAnsi="Arial" w:cs="Arial"/>
          <w:sz w:val="24"/>
          <w:szCs w:val="24"/>
        </w:rPr>
        <w:t>ktsiate ja osade</w:t>
      </w:r>
      <w:r w:rsidRPr="00130DB4">
        <w:rPr>
          <w:rFonts w:ascii="Arial" w:hAnsi="Arial" w:cs="Arial"/>
          <w:sz w:val="24"/>
          <w:szCs w:val="24"/>
        </w:rPr>
        <w:t xml:space="preserve"> </w:t>
      </w:r>
      <w:r w:rsidR="00EC3F8E">
        <w:rPr>
          <w:rFonts w:ascii="Arial" w:hAnsi="Arial" w:cs="Arial"/>
          <w:sz w:val="24"/>
          <w:szCs w:val="24"/>
        </w:rPr>
        <w:t>müük</w:t>
      </w:r>
      <w:r w:rsidRPr="00130DB4">
        <w:rPr>
          <w:rFonts w:ascii="Arial" w:hAnsi="Arial" w:cs="Arial"/>
          <w:sz w:val="24"/>
          <w:szCs w:val="24"/>
        </w:rPr>
        <w:t xml:space="preserve">; 6) osaluste </w:t>
      </w:r>
      <w:r w:rsidR="007F7A48">
        <w:rPr>
          <w:rFonts w:ascii="Arial" w:hAnsi="Arial" w:cs="Arial"/>
          <w:sz w:val="24"/>
          <w:szCs w:val="24"/>
        </w:rPr>
        <w:t>ning muude aktsiate ja osade</w:t>
      </w:r>
      <w:r w:rsidR="00F9590E">
        <w:rPr>
          <w:rFonts w:ascii="Arial" w:hAnsi="Arial" w:cs="Arial"/>
          <w:sz w:val="24"/>
          <w:szCs w:val="24"/>
        </w:rPr>
        <w:t xml:space="preserve"> </w:t>
      </w:r>
      <w:r w:rsidR="00EC3F8E">
        <w:rPr>
          <w:rFonts w:ascii="Arial" w:hAnsi="Arial" w:cs="Arial"/>
          <w:sz w:val="24"/>
          <w:szCs w:val="24"/>
        </w:rPr>
        <w:t>soetus</w:t>
      </w:r>
      <w:r w:rsidRPr="00130DB4">
        <w:rPr>
          <w:rFonts w:ascii="Arial" w:hAnsi="Arial" w:cs="Arial"/>
          <w:sz w:val="24"/>
          <w:szCs w:val="24"/>
        </w:rPr>
        <w:t xml:space="preserve">; </w:t>
      </w:r>
      <w:r w:rsidR="00F9590E">
        <w:rPr>
          <w:rFonts w:ascii="Arial" w:hAnsi="Arial" w:cs="Arial"/>
          <w:sz w:val="24"/>
          <w:szCs w:val="24"/>
        </w:rPr>
        <w:t>7</w:t>
      </w:r>
      <w:r w:rsidRPr="00130DB4">
        <w:rPr>
          <w:rFonts w:ascii="Arial" w:hAnsi="Arial" w:cs="Arial"/>
          <w:sz w:val="24"/>
          <w:szCs w:val="24"/>
        </w:rPr>
        <w:t xml:space="preserve">) </w:t>
      </w:r>
      <w:r w:rsidR="00F9590E">
        <w:rPr>
          <w:rFonts w:ascii="Arial" w:hAnsi="Arial" w:cs="Arial"/>
          <w:sz w:val="24"/>
          <w:szCs w:val="24"/>
        </w:rPr>
        <w:t>tagasi</w:t>
      </w:r>
      <w:r w:rsidR="00065A70">
        <w:rPr>
          <w:rFonts w:ascii="Arial" w:hAnsi="Arial" w:cs="Arial"/>
          <w:sz w:val="24"/>
          <w:szCs w:val="24"/>
        </w:rPr>
        <w:t xml:space="preserve">laekuvad </w:t>
      </w:r>
      <w:r w:rsidRPr="00130DB4">
        <w:rPr>
          <w:rFonts w:ascii="Arial" w:hAnsi="Arial" w:cs="Arial"/>
          <w:sz w:val="24"/>
          <w:szCs w:val="24"/>
        </w:rPr>
        <w:t xml:space="preserve">laenud; </w:t>
      </w:r>
      <w:r w:rsidR="00065A70">
        <w:rPr>
          <w:rFonts w:ascii="Arial" w:hAnsi="Arial" w:cs="Arial"/>
          <w:sz w:val="24"/>
          <w:szCs w:val="24"/>
        </w:rPr>
        <w:t>8</w:t>
      </w:r>
      <w:r w:rsidRPr="00130DB4">
        <w:rPr>
          <w:rFonts w:ascii="Arial" w:hAnsi="Arial" w:cs="Arial"/>
          <w:sz w:val="24"/>
          <w:szCs w:val="24"/>
        </w:rPr>
        <w:t xml:space="preserve">) </w:t>
      </w:r>
      <w:r w:rsidR="00065A70">
        <w:rPr>
          <w:rFonts w:ascii="Arial" w:hAnsi="Arial" w:cs="Arial"/>
          <w:sz w:val="24"/>
          <w:szCs w:val="24"/>
        </w:rPr>
        <w:t>antavad</w:t>
      </w:r>
      <w:r w:rsidRPr="00130DB4">
        <w:rPr>
          <w:rFonts w:ascii="Arial" w:hAnsi="Arial" w:cs="Arial"/>
          <w:sz w:val="24"/>
          <w:szCs w:val="24"/>
        </w:rPr>
        <w:t xml:space="preserve"> laenud; </w:t>
      </w:r>
      <w:r w:rsidR="00065A70">
        <w:rPr>
          <w:rFonts w:ascii="Arial" w:hAnsi="Arial" w:cs="Arial"/>
          <w:sz w:val="24"/>
          <w:szCs w:val="24"/>
        </w:rPr>
        <w:t xml:space="preserve">         9</w:t>
      </w:r>
      <w:r w:rsidRPr="00130DB4">
        <w:rPr>
          <w:rFonts w:ascii="Arial" w:hAnsi="Arial" w:cs="Arial"/>
          <w:sz w:val="24"/>
          <w:szCs w:val="24"/>
        </w:rPr>
        <w:t>) finantstulud ja finantskulud.</w:t>
      </w:r>
    </w:p>
    <w:p w14:paraId="77CA9F73" w14:textId="211B97FF" w:rsidR="00130DB4" w:rsidRDefault="00130DB4" w:rsidP="00592901">
      <w:pPr>
        <w:spacing w:line="240" w:lineRule="auto"/>
        <w:jc w:val="both"/>
        <w:rPr>
          <w:rFonts w:ascii="Arial" w:hAnsi="Arial" w:cs="Arial"/>
          <w:sz w:val="24"/>
          <w:szCs w:val="24"/>
        </w:rPr>
      </w:pPr>
      <w:r w:rsidRPr="00130DB4">
        <w:rPr>
          <w:rFonts w:ascii="Arial" w:hAnsi="Arial" w:cs="Arial"/>
          <w:sz w:val="24"/>
          <w:szCs w:val="24"/>
        </w:rPr>
        <w:t>Strateegiaperioodil</w:t>
      </w:r>
      <w:r w:rsidR="008D6316">
        <w:rPr>
          <w:rFonts w:ascii="Arial" w:hAnsi="Arial" w:cs="Arial"/>
          <w:sz w:val="24"/>
          <w:szCs w:val="24"/>
        </w:rPr>
        <w:t xml:space="preserve"> on</w:t>
      </w:r>
      <w:r w:rsidR="00A9389E">
        <w:rPr>
          <w:rFonts w:ascii="Arial" w:hAnsi="Arial" w:cs="Arial"/>
          <w:sz w:val="24"/>
          <w:szCs w:val="24"/>
        </w:rPr>
        <w:t xml:space="preserve"> </w:t>
      </w:r>
      <w:r w:rsidR="008D6316">
        <w:rPr>
          <w:rFonts w:ascii="Arial" w:hAnsi="Arial" w:cs="Arial"/>
          <w:sz w:val="24"/>
          <w:szCs w:val="24"/>
        </w:rPr>
        <w:t>planeeritud</w:t>
      </w:r>
      <w:r w:rsidRPr="00130DB4">
        <w:rPr>
          <w:rFonts w:ascii="Arial" w:hAnsi="Arial" w:cs="Arial"/>
          <w:sz w:val="24"/>
          <w:szCs w:val="24"/>
        </w:rPr>
        <w:t xml:space="preserve"> investeeringuid nii omavahendite kui ka Euroopa Liidu ja siseriiklike toetuste ning koostööprojektide raames erasektori rahastuse arvelt. Investeerimistegevuses on kajastatud toetusi (põhivara soetamiseks saadav sihtfinantseerimine) eeldataval määral, kuigi nende saamine ja suurus ei ole lõplikult selge.</w:t>
      </w:r>
      <w:r w:rsidR="00151FB6">
        <w:rPr>
          <w:rFonts w:ascii="Arial" w:hAnsi="Arial" w:cs="Arial"/>
          <w:sz w:val="24"/>
          <w:szCs w:val="24"/>
        </w:rPr>
        <w:t xml:space="preserve"> Inve</w:t>
      </w:r>
      <w:r w:rsidR="00533ABA">
        <w:rPr>
          <w:rFonts w:ascii="Arial" w:hAnsi="Arial" w:cs="Arial"/>
          <w:sz w:val="24"/>
          <w:szCs w:val="24"/>
        </w:rPr>
        <w:t>steerimistegevuse põhiallikaks on valla omavahendid.</w:t>
      </w:r>
    </w:p>
    <w:p w14:paraId="7FB419BA" w14:textId="21F26ADA" w:rsidR="00466D08" w:rsidRPr="00130DB4" w:rsidRDefault="00466D08" w:rsidP="00592901">
      <w:pPr>
        <w:spacing w:line="240" w:lineRule="auto"/>
        <w:jc w:val="both"/>
        <w:rPr>
          <w:rFonts w:ascii="Arial" w:hAnsi="Arial" w:cs="Arial"/>
          <w:sz w:val="24"/>
          <w:szCs w:val="24"/>
        </w:rPr>
      </w:pPr>
      <w:r>
        <w:rPr>
          <w:rFonts w:ascii="Arial" w:hAnsi="Arial" w:cs="Arial"/>
          <w:sz w:val="24"/>
          <w:szCs w:val="24"/>
        </w:rPr>
        <w:t xml:space="preserve">Vallavara </w:t>
      </w:r>
      <w:r w:rsidR="008C1E77">
        <w:rPr>
          <w:rFonts w:ascii="Arial" w:hAnsi="Arial" w:cs="Arial"/>
          <w:sz w:val="24"/>
          <w:szCs w:val="24"/>
        </w:rPr>
        <w:t xml:space="preserve">müüki on prognoositud valla omandis olevate kinnisvarainvesteeringute müüki vastavalt </w:t>
      </w:r>
      <w:r w:rsidR="00C53953">
        <w:rPr>
          <w:rFonts w:ascii="Arial" w:hAnsi="Arial" w:cs="Arial"/>
          <w:sz w:val="24"/>
          <w:szCs w:val="24"/>
        </w:rPr>
        <w:t>detailplaneeringute valmimisele.</w:t>
      </w:r>
    </w:p>
    <w:p w14:paraId="5FC81A77" w14:textId="1CED3398" w:rsidR="00674321" w:rsidRDefault="007411C7" w:rsidP="00592901">
      <w:pPr>
        <w:spacing w:line="240" w:lineRule="auto"/>
        <w:jc w:val="both"/>
        <w:rPr>
          <w:rFonts w:ascii="Arial" w:hAnsi="Arial" w:cs="Arial"/>
          <w:sz w:val="24"/>
          <w:szCs w:val="24"/>
        </w:rPr>
      </w:pPr>
      <w:r w:rsidRPr="007411C7">
        <w:rPr>
          <w:rFonts w:ascii="Arial" w:hAnsi="Arial" w:cs="Arial"/>
          <w:sz w:val="24"/>
          <w:szCs w:val="24"/>
        </w:rPr>
        <w:t>Strateegiaperioodi</w:t>
      </w:r>
      <w:r w:rsidR="008C08B4">
        <w:rPr>
          <w:rFonts w:ascii="Arial" w:hAnsi="Arial" w:cs="Arial"/>
          <w:sz w:val="24"/>
          <w:szCs w:val="24"/>
        </w:rPr>
        <w:t xml:space="preserve">l on </w:t>
      </w:r>
      <w:r w:rsidRPr="007411C7">
        <w:rPr>
          <w:rFonts w:ascii="Arial" w:hAnsi="Arial" w:cs="Arial"/>
          <w:sz w:val="24"/>
          <w:szCs w:val="24"/>
        </w:rPr>
        <w:t xml:space="preserve"> infrastruktuuri investeeringud kokku </w:t>
      </w:r>
      <w:r w:rsidR="008C08B4">
        <w:rPr>
          <w:rFonts w:ascii="Arial" w:hAnsi="Arial" w:cs="Arial"/>
          <w:sz w:val="24"/>
          <w:szCs w:val="24"/>
        </w:rPr>
        <w:t>c</w:t>
      </w:r>
      <w:r w:rsidR="007D277B">
        <w:rPr>
          <w:rFonts w:ascii="Arial" w:hAnsi="Arial" w:cs="Arial"/>
          <w:sz w:val="24"/>
          <w:szCs w:val="24"/>
        </w:rPr>
        <w:t>a</w:t>
      </w:r>
      <w:r w:rsidRPr="007411C7">
        <w:rPr>
          <w:rFonts w:ascii="Arial" w:hAnsi="Arial" w:cs="Arial"/>
          <w:sz w:val="24"/>
          <w:szCs w:val="24"/>
        </w:rPr>
        <w:t xml:space="preserve"> </w:t>
      </w:r>
      <w:r w:rsidR="00ED0EAC">
        <w:rPr>
          <w:rFonts w:ascii="Arial" w:hAnsi="Arial" w:cs="Arial"/>
          <w:sz w:val="24"/>
          <w:szCs w:val="24"/>
        </w:rPr>
        <w:t>40</w:t>
      </w:r>
      <w:r w:rsidRPr="007411C7">
        <w:rPr>
          <w:rFonts w:ascii="Arial" w:hAnsi="Arial" w:cs="Arial"/>
          <w:sz w:val="24"/>
          <w:szCs w:val="24"/>
        </w:rPr>
        <w:t xml:space="preserve"> miljonit eurot</w:t>
      </w:r>
      <w:r w:rsidR="008C08B4">
        <w:rPr>
          <w:rFonts w:ascii="Arial" w:hAnsi="Arial" w:cs="Arial"/>
          <w:sz w:val="24"/>
          <w:szCs w:val="24"/>
        </w:rPr>
        <w:t>.</w:t>
      </w:r>
      <w:r w:rsidRPr="007411C7">
        <w:rPr>
          <w:rFonts w:ascii="Arial" w:hAnsi="Arial" w:cs="Arial"/>
          <w:sz w:val="24"/>
          <w:szCs w:val="24"/>
        </w:rPr>
        <w:t xml:space="preserve"> </w:t>
      </w:r>
      <w:r w:rsidR="008C08B4">
        <w:rPr>
          <w:rFonts w:ascii="Arial" w:hAnsi="Arial" w:cs="Arial"/>
          <w:sz w:val="24"/>
          <w:szCs w:val="24"/>
        </w:rPr>
        <w:t>O</w:t>
      </w:r>
      <w:r w:rsidRPr="007411C7">
        <w:rPr>
          <w:rFonts w:ascii="Arial" w:hAnsi="Arial" w:cs="Arial"/>
          <w:sz w:val="24"/>
          <w:szCs w:val="24"/>
        </w:rPr>
        <w:t xml:space="preserve">lulisema osa </w:t>
      </w:r>
      <w:r w:rsidR="002629F0">
        <w:rPr>
          <w:rFonts w:ascii="Arial" w:hAnsi="Arial" w:cs="Arial"/>
          <w:sz w:val="24"/>
          <w:szCs w:val="24"/>
        </w:rPr>
        <w:t xml:space="preserve">(68%) </w:t>
      </w:r>
      <w:r w:rsidRPr="007411C7">
        <w:rPr>
          <w:rFonts w:ascii="Arial" w:hAnsi="Arial" w:cs="Arial"/>
          <w:sz w:val="24"/>
          <w:szCs w:val="24"/>
        </w:rPr>
        <w:t xml:space="preserve">moodustavad </w:t>
      </w:r>
      <w:r w:rsidR="00C24E60">
        <w:rPr>
          <w:rFonts w:ascii="Arial" w:hAnsi="Arial" w:cs="Arial"/>
          <w:sz w:val="24"/>
          <w:szCs w:val="24"/>
        </w:rPr>
        <w:t>haridu</w:t>
      </w:r>
      <w:r w:rsidR="00B72F77">
        <w:rPr>
          <w:rFonts w:ascii="Arial" w:hAnsi="Arial" w:cs="Arial"/>
          <w:sz w:val="24"/>
          <w:szCs w:val="24"/>
        </w:rPr>
        <w:t>s-</w:t>
      </w:r>
      <w:r w:rsidR="00000084">
        <w:rPr>
          <w:rFonts w:ascii="Arial" w:hAnsi="Arial" w:cs="Arial"/>
          <w:sz w:val="24"/>
          <w:szCs w:val="24"/>
        </w:rPr>
        <w:t xml:space="preserve"> (</w:t>
      </w:r>
      <w:r w:rsidR="00F86D64">
        <w:rPr>
          <w:rFonts w:ascii="Arial" w:hAnsi="Arial" w:cs="Arial"/>
          <w:sz w:val="24"/>
          <w:szCs w:val="24"/>
        </w:rPr>
        <w:t>27,5</w:t>
      </w:r>
      <w:r w:rsidR="00000084">
        <w:rPr>
          <w:rFonts w:ascii="Arial" w:hAnsi="Arial" w:cs="Arial"/>
          <w:sz w:val="24"/>
          <w:szCs w:val="24"/>
        </w:rPr>
        <w:t xml:space="preserve"> miljonit eurot)</w:t>
      </w:r>
      <w:r w:rsidR="00B72F77">
        <w:rPr>
          <w:rFonts w:ascii="Arial" w:hAnsi="Arial" w:cs="Arial"/>
          <w:sz w:val="24"/>
          <w:szCs w:val="24"/>
        </w:rPr>
        <w:t xml:space="preserve">, </w:t>
      </w:r>
      <w:r w:rsidRPr="007411C7">
        <w:rPr>
          <w:rFonts w:ascii="Arial" w:hAnsi="Arial" w:cs="Arial"/>
          <w:sz w:val="24"/>
          <w:szCs w:val="24"/>
        </w:rPr>
        <w:t>majandus</w:t>
      </w:r>
      <w:r w:rsidR="00243656">
        <w:rPr>
          <w:rFonts w:ascii="Arial" w:hAnsi="Arial" w:cs="Arial"/>
          <w:sz w:val="24"/>
          <w:szCs w:val="24"/>
        </w:rPr>
        <w:t xml:space="preserve"> </w:t>
      </w:r>
      <w:r w:rsidRPr="007411C7">
        <w:rPr>
          <w:rFonts w:ascii="Arial" w:hAnsi="Arial" w:cs="Arial"/>
          <w:sz w:val="24"/>
          <w:szCs w:val="24"/>
        </w:rPr>
        <w:t>-</w:t>
      </w:r>
      <w:r w:rsidR="00FD5298">
        <w:rPr>
          <w:rFonts w:ascii="Arial" w:hAnsi="Arial" w:cs="Arial"/>
          <w:sz w:val="24"/>
          <w:szCs w:val="24"/>
        </w:rPr>
        <w:t>(7,</w:t>
      </w:r>
      <w:r w:rsidR="00243656">
        <w:rPr>
          <w:rFonts w:ascii="Arial" w:hAnsi="Arial" w:cs="Arial"/>
          <w:sz w:val="24"/>
          <w:szCs w:val="24"/>
        </w:rPr>
        <w:t>1</w:t>
      </w:r>
      <w:r w:rsidR="00FD5298">
        <w:rPr>
          <w:rFonts w:ascii="Arial" w:hAnsi="Arial" w:cs="Arial"/>
          <w:sz w:val="24"/>
          <w:szCs w:val="24"/>
        </w:rPr>
        <w:t xml:space="preserve"> miljonit eurot)</w:t>
      </w:r>
      <w:r w:rsidRPr="007411C7">
        <w:rPr>
          <w:rFonts w:ascii="Arial" w:hAnsi="Arial" w:cs="Arial"/>
          <w:sz w:val="24"/>
          <w:szCs w:val="24"/>
        </w:rPr>
        <w:t xml:space="preserve">, </w:t>
      </w:r>
      <w:r w:rsidR="00527C8D">
        <w:rPr>
          <w:rFonts w:ascii="Arial" w:hAnsi="Arial" w:cs="Arial"/>
          <w:sz w:val="24"/>
          <w:szCs w:val="24"/>
        </w:rPr>
        <w:t>ja kommunaalmajanduse</w:t>
      </w:r>
      <w:r w:rsidR="00243656">
        <w:rPr>
          <w:rFonts w:ascii="Arial" w:hAnsi="Arial" w:cs="Arial"/>
          <w:sz w:val="24"/>
          <w:szCs w:val="24"/>
        </w:rPr>
        <w:t xml:space="preserve"> </w:t>
      </w:r>
      <w:r w:rsidR="00F927BE">
        <w:rPr>
          <w:rFonts w:ascii="Arial" w:hAnsi="Arial" w:cs="Arial"/>
          <w:sz w:val="24"/>
          <w:szCs w:val="24"/>
        </w:rPr>
        <w:t>(</w:t>
      </w:r>
      <w:r w:rsidR="00243656">
        <w:rPr>
          <w:rFonts w:ascii="Arial" w:hAnsi="Arial" w:cs="Arial"/>
          <w:sz w:val="24"/>
          <w:szCs w:val="24"/>
        </w:rPr>
        <w:t>1</w:t>
      </w:r>
      <w:r w:rsidR="00F927BE">
        <w:rPr>
          <w:rFonts w:ascii="Arial" w:hAnsi="Arial" w:cs="Arial"/>
          <w:sz w:val="24"/>
          <w:szCs w:val="24"/>
        </w:rPr>
        <w:t>,</w:t>
      </w:r>
      <w:r w:rsidR="00243656">
        <w:rPr>
          <w:rFonts w:ascii="Arial" w:hAnsi="Arial" w:cs="Arial"/>
          <w:sz w:val="24"/>
          <w:szCs w:val="24"/>
        </w:rPr>
        <w:t>9</w:t>
      </w:r>
      <w:r w:rsidR="00F927BE">
        <w:rPr>
          <w:rFonts w:ascii="Arial" w:hAnsi="Arial" w:cs="Arial"/>
          <w:sz w:val="24"/>
          <w:szCs w:val="24"/>
        </w:rPr>
        <w:t xml:space="preserve"> miljonit eurot) v</w:t>
      </w:r>
      <w:r w:rsidRPr="007411C7">
        <w:rPr>
          <w:rFonts w:ascii="Arial" w:hAnsi="Arial" w:cs="Arial"/>
          <w:sz w:val="24"/>
          <w:szCs w:val="24"/>
        </w:rPr>
        <w:t>aldkonna</w:t>
      </w:r>
      <w:r w:rsidR="00FD5298">
        <w:rPr>
          <w:rFonts w:ascii="Arial" w:hAnsi="Arial" w:cs="Arial"/>
          <w:sz w:val="24"/>
          <w:szCs w:val="24"/>
        </w:rPr>
        <w:t xml:space="preserve"> </w:t>
      </w:r>
      <w:r w:rsidRPr="007411C7">
        <w:rPr>
          <w:rFonts w:ascii="Arial" w:hAnsi="Arial" w:cs="Arial"/>
          <w:sz w:val="24"/>
          <w:szCs w:val="24"/>
        </w:rPr>
        <w:t xml:space="preserve">objektid. Muu rahastuse osakaal projektides on </w:t>
      </w:r>
      <w:r w:rsidR="008D23F1">
        <w:rPr>
          <w:rFonts w:ascii="Arial" w:hAnsi="Arial" w:cs="Arial"/>
          <w:sz w:val="24"/>
          <w:szCs w:val="24"/>
        </w:rPr>
        <w:t>väiksem kui</w:t>
      </w:r>
      <w:r w:rsidRPr="007411C7">
        <w:rPr>
          <w:rFonts w:ascii="Arial" w:hAnsi="Arial" w:cs="Arial"/>
          <w:sz w:val="24"/>
          <w:szCs w:val="24"/>
        </w:rPr>
        <w:t xml:space="preserve"> </w:t>
      </w:r>
      <w:r w:rsidR="00193251">
        <w:rPr>
          <w:rFonts w:ascii="Arial" w:hAnsi="Arial" w:cs="Arial"/>
          <w:sz w:val="24"/>
          <w:szCs w:val="24"/>
        </w:rPr>
        <w:t>1</w:t>
      </w:r>
      <w:r w:rsidR="0085310C">
        <w:rPr>
          <w:rFonts w:ascii="Arial" w:hAnsi="Arial" w:cs="Arial"/>
          <w:sz w:val="24"/>
          <w:szCs w:val="24"/>
        </w:rPr>
        <w:t>0</w:t>
      </w:r>
      <w:r w:rsidRPr="007411C7">
        <w:rPr>
          <w:rFonts w:ascii="Arial" w:hAnsi="Arial" w:cs="Arial"/>
          <w:sz w:val="24"/>
          <w:szCs w:val="24"/>
        </w:rPr>
        <w:t>%.</w:t>
      </w:r>
      <w:r w:rsidR="00AB23D6">
        <w:rPr>
          <w:rFonts w:ascii="Arial" w:hAnsi="Arial" w:cs="Arial"/>
          <w:sz w:val="24"/>
          <w:szCs w:val="24"/>
        </w:rPr>
        <w:t xml:space="preserve"> </w:t>
      </w:r>
      <w:r w:rsidR="00F754C1">
        <w:rPr>
          <w:rFonts w:ascii="Arial" w:hAnsi="Arial" w:cs="Arial"/>
          <w:sz w:val="24"/>
          <w:szCs w:val="24"/>
        </w:rPr>
        <w:t xml:space="preserve">Strateegia perioodil on </w:t>
      </w:r>
      <w:r w:rsidR="00333BDA">
        <w:rPr>
          <w:rFonts w:ascii="Arial" w:hAnsi="Arial" w:cs="Arial"/>
          <w:sz w:val="24"/>
          <w:szCs w:val="24"/>
        </w:rPr>
        <w:t>oluliseks</w:t>
      </w:r>
      <w:r w:rsidR="0070717D">
        <w:rPr>
          <w:rFonts w:ascii="Arial" w:hAnsi="Arial" w:cs="Arial"/>
          <w:sz w:val="24"/>
          <w:szCs w:val="24"/>
        </w:rPr>
        <w:t xml:space="preserve"> väljakutseks muu rahastuse osakaalu suurendamine. Suurim</w:t>
      </w:r>
      <w:r w:rsidR="00016B54">
        <w:rPr>
          <w:rFonts w:ascii="Arial" w:hAnsi="Arial" w:cs="Arial"/>
          <w:sz w:val="24"/>
          <w:szCs w:val="24"/>
        </w:rPr>
        <w:t xml:space="preserve"> investeerimisobjekt on Raadi alevisse rajatav lasteaed</w:t>
      </w:r>
      <w:r w:rsidR="005F61B3">
        <w:rPr>
          <w:rFonts w:ascii="Arial" w:hAnsi="Arial" w:cs="Arial"/>
          <w:sz w:val="24"/>
          <w:szCs w:val="24"/>
        </w:rPr>
        <w:t xml:space="preserve"> (10</w:t>
      </w:r>
      <w:r w:rsidR="00EA720A">
        <w:rPr>
          <w:rFonts w:ascii="Arial" w:hAnsi="Arial" w:cs="Arial"/>
          <w:sz w:val="24"/>
          <w:szCs w:val="24"/>
        </w:rPr>
        <w:t>,</w:t>
      </w:r>
      <w:r w:rsidR="00462284">
        <w:rPr>
          <w:rFonts w:ascii="Arial" w:hAnsi="Arial" w:cs="Arial"/>
          <w:sz w:val="24"/>
          <w:szCs w:val="24"/>
        </w:rPr>
        <w:t>6</w:t>
      </w:r>
      <w:r w:rsidR="00EA720A">
        <w:rPr>
          <w:rFonts w:ascii="Arial" w:hAnsi="Arial" w:cs="Arial"/>
          <w:sz w:val="24"/>
          <w:szCs w:val="24"/>
        </w:rPr>
        <w:t xml:space="preserve"> miljonit)</w:t>
      </w:r>
      <w:r w:rsidR="00016B54">
        <w:rPr>
          <w:rFonts w:ascii="Arial" w:hAnsi="Arial" w:cs="Arial"/>
          <w:sz w:val="24"/>
          <w:szCs w:val="24"/>
        </w:rPr>
        <w:t xml:space="preserve"> ja </w:t>
      </w:r>
      <w:r w:rsidR="00333BDA">
        <w:rPr>
          <w:rFonts w:ascii="Arial" w:hAnsi="Arial" w:cs="Arial"/>
          <w:sz w:val="24"/>
          <w:szCs w:val="24"/>
        </w:rPr>
        <w:t>põhikool</w:t>
      </w:r>
      <w:r w:rsidR="00EA720A">
        <w:rPr>
          <w:rFonts w:ascii="Arial" w:hAnsi="Arial" w:cs="Arial"/>
          <w:sz w:val="24"/>
          <w:szCs w:val="24"/>
        </w:rPr>
        <w:t xml:space="preserve"> (ca 26 miljonit)</w:t>
      </w:r>
      <w:r w:rsidR="00187F85">
        <w:rPr>
          <w:rFonts w:ascii="Arial" w:hAnsi="Arial" w:cs="Arial"/>
          <w:sz w:val="24"/>
          <w:szCs w:val="24"/>
        </w:rPr>
        <w:t xml:space="preserve"> ning </w:t>
      </w:r>
      <w:r w:rsidR="00FC003F">
        <w:rPr>
          <w:rFonts w:ascii="Arial" w:hAnsi="Arial" w:cs="Arial"/>
          <w:sz w:val="24"/>
          <w:szCs w:val="24"/>
        </w:rPr>
        <w:t>selle tarbeks vajalik infrastruktuur</w:t>
      </w:r>
      <w:r w:rsidR="00187F85">
        <w:rPr>
          <w:rFonts w:ascii="Arial" w:hAnsi="Arial" w:cs="Arial"/>
          <w:sz w:val="24"/>
          <w:szCs w:val="24"/>
        </w:rPr>
        <w:t>.</w:t>
      </w:r>
      <w:r w:rsidR="00D22A98">
        <w:rPr>
          <w:rFonts w:ascii="Arial" w:hAnsi="Arial" w:cs="Arial"/>
          <w:sz w:val="24"/>
          <w:szCs w:val="24"/>
        </w:rPr>
        <w:t xml:space="preserve"> </w:t>
      </w:r>
    </w:p>
    <w:p w14:paraId="36EBB0A9" w14:textId="3E354CB2" w:rsidR="00093BF0" w:rsidRPr="00DE3441" w:rsidRDefault="00093BF0" w:rsidP="00130DB4">
      <w:pPr>
        <w:rPr>
          <w:rFonts w:ascii="Arial" w:hAnsi="Arial" w:cs="Arial"/>
        </w:rPr>
      </w:pPr>
      <w:r w:rsidRPr="00DE3441">
        <w:rPr>
          <w:rFonts w:ascii="Arial" w:hAnsi="Arial" w:cs="Arial"/>
        </w:rPr>
        <w:lastRenderedPageBreak/>
        <w:t xml:space="preserve">Tabel </w:t>
      </w:r>
      <w:r w:rsidR="00DE3441" w:rsidRPr="00DE3441">
        <w:rPr>
          <w:rFonts w:ascii="Arial" w:hAnsi="Arial" w:cs="Arial"/>
        </w:rPr>
        <w:t>11</w:t>
      </w:r>
      <w:r w:rsidRPr="00DE3441">
        <w:rPr>
          <w:rFonts w:ascii="Arial" w:hAnsi="Arial" w:cs="Arial"/>
        </w:rPr>
        <w:t>. Investeerimistegevus (202</w:t>
      </w:r>
      <w:r w:rsidR="001C1208">
        <w:rPr>
          <w:rFonts w:ascii="Arial" w:hAnsi="Arial" w:cs="Arial"/>
        </w:rPr>
        <w:t>3</w:t>
      </w:r>
      <w:r w:rsidRPr="00DE3441">
        <w:rPr>
          <w:rFonts w:ascii="Arial" w:hAnsi="Arial" w:cs="Arial"/>
        </w:rPr>
        <w:t>-202</w:t>
      </w:r>
      <w:r w:rsidR="001C1208">
        <w:rPr>
          <w:rFonts w:ascii="Arial" w:hAnsi="Arial" w:cs="Arial"/>
        </w:rPr>
        <w:t>8</w:t>
      </w:r>
      <w:r w:rsidRPr="00DE3441">
        <w:rPr>
          <w:rFonts w:ascii="Arial" w:hAnsi="Arial" w:cs="Arial"/>
        </w:rPr>
        <w:t>)</w:t>
      </w:r>
    </w:p>
    <w:p w14:paraId="2D4EACB2" w14:textId="1E522BC7" w:rsidR="00B84162" w:rsidRDefault="00901DD0" w:rsidP="00130DB4">
      <w:pPr>
        <w:rPr>
          <w:rFonts w:ascii="Arial" w:hAnsi="Arial" w:cs="Arial"/>
          <w:sz w:val="24"/>
          <w:szCs w:val="24"/>
        </w:rPr>
      </w:pPr>
      <w:r w:rsidRPr="00901DD0">
        <w:drawing>
          <wp:inline distT="0" distB="0" distL="0" distR="0" wp14:anchorId="4F5FFCA3" wp14:editId="1F046127">
            <wp:extent cx="5760720" cy="2720340"/>
            <wp:effectExtent l="0" t="0" r="0" b="3810"/>
            <wp:docPr id="1149737629"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720340"/>
                    </a:xfrm>
                    <a:prstGeom prst="rect">
                      <a:avLst/>
                    </a:prstGeom>
                    <a:noFill/>
                    <a:ln>
                      <a:noFill/>
                    </a:ln>
                  </pic:spPr>
                </pic:pic>
              </a:graphicData>
            </a:graphic>
          </wp:inline>
        </w:drawing>
      </w:r>
    </w:p>
    <w:p w14:paraId="6BE23BE7" w14:textId="35CED751" w:rsidR="00B84162" w:rsidRDefault="005E0147" w:rsidP="00130DB4">
      <w:pPr>
        <w:rPr>
          <w:rFonts w:ascii="Arial" w:hAnsi="Arial" w:cs="Arial"/>
          <w:sz w:val="24"/>
          <w:szCs w:val="24"/>
        </w:rPr>
      </w:pPr>
      <w:r w:rsidRPr="005E0147">
        <w:drawing>
          <wp:inline distT="0" distB="0" distL="0" distR="0" wp14:anchorId="798B8857" wp14:editId="670E3E10">
            <wp:extent cx="5760720" cy="2425700"/>
            <wp:effectExtent l="0" t="0" r="0" b="0"/>
            <wp:docPr id="1845712690"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425700"/>
                    </a:xfrm>
                    <a:prstGeom prst="rect">
                      <a:avLst/>
                    </a:prstGeom>
                    <a:noFill/>
                    <a:ln>
                      <a:noFill/>
                    </a:ln>
                  </pic:spPr>
                </pic:pic>
              </a:graphicData>
            </a:graphic>
          </wp:inline>
        </w:drawing>
      </w:r>
    </w:p>
    <w:p w14:paraId="72D00DCE" w14:textId="77777777" w:rsidR="00A1721F" w:rsidRDefault="00A1721F" w:rsidP="00B07A98">
      <w:pPr>
        <w:spacing w:line="240" w:lineRule="auto"/>
        <w:jc w:val="both"/>
        <w:rPr>
          <w:rFonts w:ascii="Arial" w:hAnsi="Arial" w:cs="Arial"/>
          <w:sz w:val="24"/>
          <w:szCs w:val="24"/>
        </w:rPr>
      </w:pPr>
    </w:p>
    <w:p w14:paraId="040FA040" w14:textId="51DFB0B0" w:rsidR="007D277B" w:rsidRDefault="003968BA" w:rsidP="00B07A98">
      <w:pPr>
        <w:spacing w:line="240" w:lineRule="auto"/>
        <w:jc w:val="both"/>
        <w:rPr>
          <w:rFonts w:ascii="Arial" w:hAnsi="Arial" w:cs="Arial"/>
          <w:sz w:val="24"/>
          <w:szCs w:val="24"/>
        </w:rPr>
      </w:pPr>
      <w:r>
        <w:rPr>
          <w:rFonts w:ascii="Arial" w:hAnsi="Arial" w:cs="Arial"/>
          <w:sz w:val="24"/>
          <w:szCs w:val="24"/>
        </w:rPr>
        <w:t>Põhivara sihtfinantseerim</w:t>
      </w:r>
      <w:r w:rsidR="00733CFC">
        <w:rPr>
          <w:rFonts w:ascii="Arial" w:hAnsi="Arial" w:cs="Arial"/>
          <w:sz w:val="24"/>
          <w:szCs w:val="24"/>
        </w:rPr>
        <w:t>iseks antava</w:t>
      </w:r>
      <w:r w:rsidR="00450FA4">
        <w:rPr>
          <w:rFonts w:ascii="Arial" w:hAnsi="Arial" w:cs="Arial"/>
          <w:sz w:val="24"/>
          <w:szCs w:val="24"/>
        </w:rPr>
        <w:t>te</w:t>
      </w:r>
      <w:r w:rsidR="00733CFC">
        <w:rPr>
          <w:rFonts w:ascii="Arial" w:hAnsi="Arial" w:cs="Arial"/>
          <w:sz w:val="24"/>
          <w:szCs w:val="24"/>
        </w:rPr>
        <w:t xml:space="preserve"> summad</w:t>
      </w:r>
      <w:r w:rsidR="00450FA4">
        <w:rPr>
          <w:rFonts w:ascii="Arial" w:hAnsi="Arial" w:cs="Arial"/>
          <w:sz w:val="24"/>
          <w:szCs w:val="24"/>
        </w:rPr>
        <w:t>e</w:t>
      </w:r>
      <w:r w:rsidR="00733CFC">
        <w:rPr>
          <w:rFonts w:ascii="Arial" w:hAnsi="Arial" w:cs="Arial"/>
          <w:sz w:val="24"/>
          <w:szCs w:val="24"/>
        </w:rPr>
        <w:t xml:space="preserve"> on prognoosis </w:t>
      </w:r>
      <w:r w:rsidR="003104E0">
        <w:rPr>
          <w:rFonts w:ascii="Arial" w:hAnsi="Arial" w:cs="Arial"/>
          <w:sz w:val="24"/>
          <w:szCs w:val="24"/>
        </w:rPr>
        <w:t xml:space="preserve">arvestatud, et jätkub  </w:t>
      </w:r>
      <w:proofErr w:type="spellStart"/>
      <w:r w:rsidR="003104E0">
        <w:rPr>
          <w:rFonts w:ascii="Arial" w:hAnsi="Arial" w:cs="Arial"/>
          <w:sz w:val="24"/>
          <w:szCs w:val="24"/>
        </w:rPr>
        <w:t>haja</w:t>
      </w:r>
      <w:proofErr w:type="spellEnd"/>
      <w:r w:rsidR="003104E0">
        <w:rPr>
          <w:rFonts w:ascii="Arial" w:hAnsi="Arial" w:cs="Arial"/>
          <w:sz w:val="24"/>
          <w:szCs w:val="24"/>
        </w:rPr>
        <w:t>-asustusprogramm</w:t>
      </w:r>
      <w:r w:rsidR="001A2D9A">
        <w:rPr>
          <w:rFonts w:ascii="Arial" w:hAnsi="Arial" w:cs="Arial"/>
          <w:sz w:val="24"/>
          <w:szCs w:val="24"/>
        </w:rPr>
        <w:t xml:space="preserve">i rahastus </w:t>
      </w:r>
      <w:r w:rsidR="002733F5">
        <w:rPr>
          <w:rFonts w:ascii="Arial" w:hAnsi="Arial" w:cs="Arial"/>
          <w:sz w:val="24"/>
          <w:szCs w:val="24"/>
        </w:rPr>
        <w:t xml:space="preserve">: </w:t>
      </w:r>
      <w:r w:rsidR="00616EA5">
        <w:rPr>
          <w:rFonts w:ascii="Arial" w:hAnsi="Arial" w:cs="Arial"/>
          <w:sz w:val="24"/>
          <w:szCs w:val="24"/>
        </w:rPr>
        <w:t>8</w:t>
      </w:r>
      <w:r w:rsidR="002733F5">
        <w:rPr>
          <w:rFonts w:ascii="Arial" w:hAnsi="Arial" w:cs="Arial"/>
          <w:sz w:val="24"/>
          <w:szCs w:val="24"/>
        </w:rPr>
        <w:t xml:space="preserve">0 000 </w:t>
      </w:r>
      <w:r w:rsidR="002B0E13">
        <w:rPr>
          <w:rFonts w:ascii="Arial" w:hAnsi="Arial" w:cs="Arial"/>
          <w:sz w:val="24"/>
          <w:szCs w:val="24"/>
        </w:rPr>
        <w:t xml:space="preserve">eurot </w:t>
      </w:r>
      <w:r w:rsidR="002733F5">
        <w:rPr>
          <w:rFonts w:ascii="Arial" w:hAnsi="Arial" w:cs="Arial"/>
          <w:sz w:val="24"/>
          <w:szCs w:val="24"/>
        </w:rPr>
        <w:t>vald +</w:t>
      </w:r>
      <w:r w:rsidR="00616EA5">
        <w:rPr>
          <w:rFonts w:ascii="Arial" w:hAnsi="Arial" w:cs="Arial"/>
          <w:sz w:val="24"/>
          <w:szCs w:val="24"/>
        </w:rPr>
        <w:t>8</w:t>
      </w:r>
      <w:r w:rsidR="002733F5">
        <w:rPr>
          <w:rFonts w:ascii="Arial" w:hAnsi="Arial" w:cs="Arial"/>
          <w:sz w:val="24"/>
          <w:szCs w:val="24"/>
        </w:rPr>
        <w:t xml:space="preserve">0 000 </w:t>
      </w:r>
      <w:r w:rsidR="002B0E13">
        <w:rPr>
          <w:rFonts w:ascii="Arial" w:hAnsi="Arial" w:cs="Arial"/>
          <w:sz w:val="24"/>
          <w:szCs w:val="24"/>
        </w:rPr>
        <w:t xml:space="preserve">eurot </w:t>
      </w:r>
      <w:r w:rsidR="002733F5">
        <w:rPr>
          <w:rFonts w:ascii="Arial" w:hAnsi="Arial" w:cs="Arial"/>
          <w:sz w:val="24"/>
          <w:szCs w:val="24"/>
        </w:rPr>
        <w:t>riik</w:t>
      </w:r>
      <w:r w:rsidR="002B0E13">
        <w:rPr>
          <w:rFonts w:ascii="Arial" w:hAnsi="Arial" w:cs="Arial"/>
          <w:sz w:val="24"/>
          <w:szCs w:val="24"/>
        </w:rPr>
        <w:t xml:space="preserve"> </w:t>
      </w:r>
      <w:r w:rsidR="002733F5">
        <w:rPr>
          <w:rFonts w:ascii="Arial" w:hAnsi="Arial" w:cs="Arial"/>
          <w:sz w:val="24"/>
          <w:szCs w:val="24"/>
        </w:rPr>
        <w:t>+</w:t>
      </w:r>
      <w:r w:rsidR="002B0E13">
        <w:rPr>
          <w:rFonts w:ascii="Arial" w:hAnsi="Arial" w:cs="Arial"/>
          <w:sz w:val="24"/>
          <w:szCs w:val="24"/>
        </w:rPr>
        <w:t xml:space="preserve"> </w:t>
      </w:r>
      <w:r w:rsidR="00616EA5">
        <w:rPr>
          <w:rFonts w:ascii="Arial" w:hAnsi="Arial" w:cs="Arial"/>
          <w:sz w:val="24"/>
          <w:szCs w:val="24"/>
        </w:rPr>
        <w:t>8</w:t>
      </w:r>
      <w:r w:rsidR="002733F5">
        <w:rPr>
          <w:rFonts w:ascii="Arial" w:hAnsi="Arial" w:cs="Arial"/>
          <w:sz w:val="24"/>
          <w:szCs w:val="24"/>
        </w:rPr>
        <w:t xml:space="preserve">0 000 </w:t>
      </w:r>
      <w:r w:rsidR="002B0E13">
        <w:rPr>
          <w:rFonts w:ascii="Arial" w:hAnsi="Arial" w:cs="Arial"/>
          <w:sz w:val="24"/>
          <w:szCs w:val="24"/>
        </w:rPr>
        <w:t xml:space="preserve">eurot </w:t>
      </w:r>
      <w:r w:rsidR="006E3E76">
        <w:rPr>
          <w:rFonts w:ascii="Arial" w:hAnsi="Arial" w:cs="Arial"/>
          <w:sz w:val="24"/>
          <w:szCs w:val="24"/>
        </w:rPr>
        <w:t xml:space="preserve">taotleja osalus. </w:t>
      </w:r>
      <w:r w:rsidR="001D308D">
        <w:rPr>
          <w:rFonts w:ascii="Arial" w:hAnsi="Arial" w:cs="Arial"/>
          <w:sz w:val="24"/>
          <w:szCs w:val="24"/>
        </w:rPr>
        <w:t>T</w:t>
      </w:r>
      <w:r w:rsidR="006E3E76">
        <w:rPr>
          <w:rFonts w:ascii="Arial" w:hAnsi="Arial" w:cs="Arial"/>
          <w:sz w:val="24"/>
          <w:szCs w:val="24"/>
        </w:rPr>
        <w:t xml:space="preserve">abelis kajastuvad summad </w:t>
      </w:r>
      <w:r w:rsidR="00652963">
        <w:rPr>
          <w:rFonts w:ascii="Arial" w:hAnsi="Arial" w:cs="Arial"/>
          <w:sz w:val="24"/>
          <w:szCs w:val="24"/>
        </w:rPr>
        <w:t>8</w:t>
      </w:r>
      <w:r w:rsidR="006E3E76">
        <w:rPr>
          <w:rFonts w:ascii="Arial" w:hAnsi="Arial" w:cs="Arial"/>
          <w:sz w:val="24"/>
          <w:szCs w:val="24"/>
        </w:rPr>
        <w:t>0</w:t>
      </w:r>
      <w:r w:rsidR="006F42C1">
        <w:rPr>
          <w:rFonts w:ascii="Arial" w:hAnsi="Arial" w:cs="Arial"/>
          <w:sz w:val="24"/>
          <w:szCs w:val="24"/>
        </w:rPr>
        <w:t> </w:t>
      </w:r>
      <w:r w:rsidR="002B0E13">
        <w:rPr>
          <w:rFonts w:ascii="Arial" w:hAnsi="Arial" w:cs="Arial"/>
          <w:sz w:val="24"/>
          <w:szCs w:val="24"/>
        </w:rPr>
        <w:t>000</w:t>
      </w:r>
      <w:r w:rsidR="006F42C1">
        <w:rPr>
          <w:rFonts w:ascii="Arial" w:hAnsi="Arial" w:cs="Arial"/>
          <w:sz w:val="24"/>
          <w:szCs w:val="24"/>
        </w:rPr>
        <w:t xml:space="preserve"> eurot rii</w:t>
      </w:r>
      <w:r w:rsidR="00652963">
        <w:rPr>
          <w:rFonts w:ascii="Arial" w:hAnsi="Arial" w:cs="Arial"/>
          <w:sz w:val="24"/>
          <w:szCs w:val="24"/>
        </w:rPr>
        <w:t>gilt</w:t>
      </w:r>
      <w:r w:rsidR="006F42C1">
        <w:rPr>
          <w:rFonts w:ascii="Arial" w:hAnsi="Arial" w:cs="Arial"/>
          <w:sz w:val="24"/>
          <w:szCs w:val="24"/>
        </w:rPr>
        <w:t xml:space="preserve"> </w:t>
      </w:r>
      <w:r w:rsidR="00090F55">
        <w:rPr>
          <w:rFonts w:ascii="Arial" w:hAnsi="Arial" w:cs="Arial"/>
          <w:sz w:val="24"/>
          <w:szCs w:val="24"/>
        </w:rPr>
        <w:t xml:space="preserve">saadav </w:t>
      </w:r>
      <w:r w:rsidR="00F00EB8">
        <w:rPr>
          <w:rFonts w:ascii="Arial" w:hAnsi="Arial" w:cs="Arial"/>
          <w:sz w:val="24"/>
          <w:szCs w:val="24"/>
        </w:rPr>
        <w:t>sihtfinantseerimi</w:t>
      </w:r>
      <w:r w:rsidR="00090F55">
        <w:rPr>
          <w:rFonts w:ascii="Arial" w:hAnsi="Arial" w:cs="Arial"/>
          <w:sz w:val="24"/>
          <w:szCs w:val="24"/>
        </w:rPr>
        <w:t>n</w:t>
      </w:r>
      <w:r w:rsidR="00F00EB8">
        <w:rPr>
          <w:rFonts w:ascii="Arial" w:hAnsi="Arial" w:cs="Arial"/>
          <w:sz w:val="24"/>
          <w:szCs w:val="24"/>
        </w:rPr>
        <w:t>e</w:t>
      </w:r>
      <w:r w:rsidR="00090F55">
        <w:rPr>
          <w:rFonts w:ascii="Arial" w:hAnsi="Arial" w:cs="Arial"/>
          <w:sz w:val="24"/>
          <w:szCs w:val="24"/>
        </w:rPr>
        <w:t xml:space="preserve"> ja </w:t>
      </w:r>
      <w:r w:rsidR="00652963">
        <w:rPr>
          <w:rFonts w:ascii="Arial" w:hAnsi="Arial" w:cs="Arial"/>
          <w:sz w:val="24"/>
          <w:szCs w:val="24"/>
        </w:rPr>
        <w:t>16</w:t>
      </w:r>
      <w:r w:rsidR="00090F55">
        <w:rPr>
          <w:rFonts w:ascii="Arial" w:hAnsi="Arial" w:cs="Arial"/>
          <w:sz w:val="24"/>
          <w:szCs w:val="24"/>
        </w:rPr>
        <w:t xml:space="preserve">0 000 eurot antav sihtfinantseerimine. </w:t>
      </w:r>
      <w:r w:rsidR="00081C47">
        <w:rPr>
          <w:rFonts w:ascii="Arial" w:hAnsi="Arial" w:cs="Arial"/>
          <w:sz w:val="24"/>
          <w:szCs w:val="24"/>
        </w:rPr>
        <w:t>SA Raadile antav sihtfinantseeri</w:t>
      </w:r>
      <w:r w:rsidR="00284193">
        <w:rPr>
          <w:rFonts w:ascii="Arial" w:hAnsi="Arial" w:cs="Arial"/>
          <w:sz w:val="24"/>
          <w:szCs w:val="24"/>
        </w:rPr>
        <w:t>mine väheneb</w:t>
      </w:r>
      <w:r w:rsidR="0012554B">
        <w:rPr>
          <w:rFonts w:ascii="Arial" w:hAnsi="Arial" w:cs="Arial"/>
          <w:sz w:val="24"/>
          <w:szCs w:val="24"/>
        </w:rPr>
        <w:t xml:space="preserve"> la</w:t>
      </w:r>
      <w:r w:rsidR="00284193">
        <w:rPr>
          <w:rFonts w:ascii="Arial" w:hAnsi="Arial" w:cs="Arial"/>
          <w:sz w:val="24"/>
          <w:szCs w:val="24"/>
        </w:rPr>
        <w:t>steaedade ehitamiseks võetud pangalaenude</w:t>
      </w:r>
      <w:r w:rsidR="0012554B">
        <w:rPr>
          <w:rFonts w:ascii="Arial" w:hAnsi="Arial" w:cs="Arial"/>
          <w:sz w:val="24"/>
          <w:szCs w:val="24"/>
        </w:rPr>
        <w:t xml:space="preserve"> </w:t>
      </w:r>
      <w:r w:rsidR="00E6784A">
        <w:rPr>
          <w:rFonts w:ascii="Arial" w:hAnsi="Arial" w:cs="Arial"/>
          <w:sz w:val="24"/>
          <w:szCs w:val="24"/>
        </w:rPr>
        <w:t>tagasimaksete osas.</w:t>
      </w:r>
      <w:r w:rsidR="00284193">
        <w:rPr>
          <w:rFonts w:ascii="Arial" w:hAnsi="Arial" w:cs="Arial"/>
          <w:sz w:val="24"/>
          <w:szCs w:val="24"/>
        </w:rPr>
        <w:t xml:space="preserve"> Alates 2024.</w:t>
      </w:r>
      <w:r w:rsidR="00BE7B93">
        <w:rPr>
          <w:rFonts w:ascii="Arial" w:hAnsi="Arial" w:cs="Arial"/>
          <w:sz w:val="24"/>
          <w:szCs w:val="24"/>
        </w:rPr>
        <w:t>aastast lisandub</w:t>
      </w:r>
      <w:r w:rsidR="00C023DB">
        <w:rPr>
          <w:rFonts w:ascii="Arial" w:hAnsi="Arial" w:cs="Arial"/>
          <w:sz w:val="24"/>
          <w:szCs w:val="24"/>
        </w:rPr>
        <w:t xml:space="preserve"> OÜ Tartu Valla Haldus</w:t>
      </w:r>
      <w:r w:rsidR="00B92BE8">
        <w:rPr>
          <w:rFonts w:ascii="Arial" w:hAnsi="Arial" w:cs="Arial"/>
          <w:sz w:val="24"/>
          <w:szCs w:val="24"/>
        </w:rPr>
        <w:t>ele</w:t>
      </w:r>
      <w:r w:rsidR="00C023DB">
        <w:rPr>
          <w:rFonts w:ascii="Arial" w:hAnsi="Arial" w:cs="Arial"/>
          <w:sz w:val="24"/>
          <w:szCs w:val="24"/>
        </w:rPr>
        <w:t xml:space="preserve"> antav</w:t>
      </w:r>
      <w:r w:rsidR="00BE7B93">
        <w:rPr>
          <w:rFonts w:ascii="Arial" w:hAnsi="Arial" w:cs="Arial"/>
          <w:sz w:val="24"/>
          <w:szCs w:val="24"/>
        </w:rPr>
        <w:t xml:space="preserve"> bussiliisingu tagasimaksete summa</w:t>
      </w:r>
      <w:r w:rsidR="00B92BE8">
        <w:rPr>
          <w:rFonts w:ascii="Arial" w:hAnsi="Arial" w:cs="Arial"/>
          <w:sz w:val="24"/>
          <w:szCs w:val="24"/>
        </w:rPr>
        <w:t>.</w:t>
      </w:r>
      <w:r w:rsidR="00BE7B93">
        <w:rPr>
          <w:rFonts w:ascii="Arial" w:hAnsi="Arial" w:cs="Arial"/>
          <w:sz w:val="24"/>
          <w:szCs w:val="24"/>
        </w:rPr>
        <w:t xml:space="preserve"> 2025.aastal </w:t>
      </w:r>
      <w:r w:rsidR="00B92BE8">
        <w:rPr>
          <w:rFonts w:ascii="Arial" w:hAnsi="Arial" w:cs="Arial"/>
          <w:sz w:val="24"/>
          <w:szCs w:val="24"/>
        </w:rPr>
        <w:t xml:space="preserve">antakse </w:t>
      </w:r>
      <w:r w:rsidR="00BE7B93">
        <w:rPr>
          <w:rFonts w:ascii="Arial" w:hAnsi="Arial" w:cs="Arial"/>
          <w:sz w:val="24"/>
          <w:szCs w:val="24"/>
        </w:rPr>
        <w:t xml:space="preserve">SA Saadjärve </w:t>
      </w:r>
      <w:r w:rsidR="001C4494">
        <w:rPr>
          <w:rFonts w:ascii="Arial" w:hAnsi="Arial" w:cs="Arial"/>
          <w:sz w:val="24"/>
          <w:szCs w:val="24"/>
        </w:rPr>
        <w:t>sihtfinantseering uue näituse omaosaluse katteks.</w:t>
      </w:r>
    </w:p>
    <w:p w14:paraId="275BA1D6" w14:textId="77777777" w:rsidR="00A1721F" w:rsidRDefault="00A1721F" w:rsidP="00130DB4">
      <w:pPr>
        <w:rPr>
          <w:rFonts w:ascii="Arial" w:hAnsi="Arial" w:cs="Arial"/>
        </w:rPr>
      </w:pPr>
    </w:p>
    <w:p w14:paraId="509DD3E1" w14:textId="77777777" w:rsidR="00A1721F" w:rsidRDefault="00A1721F" w:rsidP="00130DB4">
      <w:pPr>
        <w:rPr>
          <w:rFonts w:ascii="Arial" w:hAnsi="Arial" w:cs="Arial"/>
        </w:rPr>
      </w:pPr>
    </w:p>
    <w:p w14:paraId="227C0072" w14:textId="77777777" w:rsidR="00A1721F" w:rsidRDefault="00A1721F" w:rsidP="00130DB4">
      <w:pPr>
        <w:rPr>
          <w:rFonts w:ascii="Arial" w:hAnsi="Arial" w:cs="Arial"/>
        </w:rPr>
      </w:pPr>
    </w:p>
    <w:p w14:paraId="044B339E" w14:textId="77777777" w:rsidR="00A1721F" w:rsidRDefault="00A1721F" w:rsidP="00130DB4">
      <w:pPr>
        <w:rPr>
          <w:rFonts w:ascii="Arial" w:hAnsi="Arial" w:cs="Arial"/>
        </w:rPr>
      </w:pPr>
    </w:p>
    <w:p w14:paraId="508AB4B3" w14:textId="77777777" w:rsidR="00A1721F" w:rsidRDefault="00A1721F" w:rsidP="00130DB4">
      <w:pPr>
        <w:rPr>
          <w:rFonts w:ascii="Arial" w:hAnsi="Arial" w:cs="Arial"/>
        </w:rPr>
      </w:pPr>
    </w:p>
    <w:p w14:paraId="1EE8074C" w14:textId="56A888AD" w:rsidR="00024EDD" w:rsidRPr="00024EDD" w:rsidRDefault="00024EDD" w:rsidP="00130DB4">
      <w:pPr>
        <w:rPr>
          <w:rFonts w:ascii="Arial" w:hAnsi="Arial" w:cs="Arial"/>
        </w:rPr>
      </w:pPr>
      <w:r w:rsidRPr="00024EDD">
        <w:rPr>
          <w:rFonts w:ascii="Arial" w:hAnsi="Arial" w:cs="Arial"/>
        </w:rPr>
        <w:lastRenderedPageBreak/>
        <w:t xml:space="preserve">Tabel 12 </w:t>
      </w:r>
      <w:r w:rsidR="00FF0639">
        <w:rPr>
          <w:rFonts w:ascii="Arial" w:hAnsi="Arial" w:cs="Arial"/>
        </w:rPr>
        <w:t>Põhivara soetuseks an</w:t>
      </w:r>
      <w:r w:rsidRPr="00024EDD">
        <w:rPr>
          <w:rFonts w:ascii="Arial" w:hAnsi="Arial" w:cs="Arial"/>
        </w:rPr>
        <w:t>tav s</w:t>
      </w:r>
      <w:r>
        <w:rPr>
          <w:rFonts w:ascii="Arial" w:hAnsi="Arial" w:cs="Arial"/>
        </w:rPr>
        <w:t>i</w:t>
      </w:r>
      <w:r w:rsidRPr="00024EDD">
        <w:rPr>
          <w:rFonts w:ascii="Arial" w:hAnsi="Arial" w:cs="Arial"/>
        </w:rPr>
        <w:t>htfinantseerimine</w:t>
      </w:r>
      <w:r w:rsidR="00F121B4">
        <w:rPr>
          <w:rFonts w:ascii="Arial" w:hAnsi="Arial" w:cs="Arial"/>
        </w:rPr>
        <w:t xml:space="preserve"> (202</w:t>
      </w:r>
      <w:r w:rsidR="00D13B5E">
        <w:rPr>
          <w:rFonts w:ascii="Arial" w:hAnsi="Arial" w:cs="Arial"/>
        </w:rPr>
        <w:t>3</w:t>
      </w:r>
      <w:r w:rsidR="00F121B4">
        <w:rPr>
          <w:rFonts w:ascii="Arial" w:hAnsi="Arial" w:cs="Arial"/>
        </w:rPr>
        <w:t>-202</w:t>
      </w:r>
      <w:r w:rsidR="00D13B5E">
        <w:rPr>
          <w:rFonts w:ascii="Arial" w:hAnsi="Arial" w:cs="Arial"/>
        </w:rPr>
        <w:t>8</w:t>
      </w:r>
      <w:r w:rsidR="00F121B4">
        <w:rPr>
          <w:rFonts w:ascii="Arial" w:hAnsi="Arial" w:cs="Arial"/>
        </w:rPr>
        <w:t>)</w:t>
      </w:r>
    </w:p>
    <w:p w14:paraId="5A4077A3" w14:textId="038E16DE" w:rsidR="007D277B" w:rsidRDefault="00A1721F" w:rsidP="00130DB4">
      <w:pPr>
        <w:rPr>
          <w:rFonts w:ascii="Arial" w:hAnsi="Arial" w:cs="Arial"/>
          <w:sz w:val="24"/>
          <w:szCs w:val="24"/>
        </w:rPr>
      </w:pPr>
      <w:r w:rsidRPr="00A1721F">
        <w:drawing>
          <wp:inline distT="0" distB="0" distL="0" distR="0" wp14:anchorId="251EEBEB" wp14:editId="35275E28">
            <wp:extent cx="5760720" cy="2195830"/>
            <wp:effectExtent l="0" t="0" r="0" b="0"/>
            <wp:docPr id="1625703046"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195830"/>
                    </a:xfrm>
                    <a:prstGeom prst="rect">
                      <a:avLst/>
                    </a:prstGeom>
                    <a:noFill/>
                    <a:ln>
                      <a:noFill/>
                    </a:ln>
                  </pic:spPr>
                </pic:pic>
              </a:graphicData>
            </a:graphic>
          </wp:inline>
        </w:drawing>
      </w:r>
    </w:p>
    <w:p w14:paraId="11A04972" w14:textId="685A3AA7" w:rsidR="007D277B" w:rsidRPr="008A0B46" w:rsidRDefault="00FF0639" w:rsidP="008A0B46">
      <w:pPr>
        <w:pStyle w:val="Pealkiri2"/>
        <w:numPr>
          <w:ilvl w:val="0"/>
          <w:numId w:val="16"/>
        </w:numPr>
        <w:rPr>
          <w:b/>
          <w:bCs/>
          <w:sz w:val="32"/>
          <w:szCs w:val="32"/>
        </w:rPr>
      </w:pPr>
      <w:bookmarkStart w:id="15" w:name="_Toc173767790"/>
      <w:r w:rsidRPr="008A0B46">
        <w:rPr>
          <w:b/>
          <w:bCs/>
          <w:sz w:val="32"/>
          <w:szCs w:val="32"/>
        </w:rPr>
        <w:t>F</w:t>
      </w:r>
      <w:r w:rsidR="00196CB1" w:rsidRPr="008A0B46">
        <w:rPr>
          <w:b/>
          <w:bCs/>
          <w:sz w:val="32"/>
          <w:szCs w:val="32"/>
        </w:rPr>
        <w:t>inantseerimistegevus</w:t>
      </w:r>
      <w:bookmarkEnd w:id="15"/>
    </w:p>
    <w:p w14:paraId="22D336E6" w14:textId="77777777" w:rsidR="008A0B46" w:rsidRDefault="008A0B46" w:rsidP="004D377B">
      <w:pPr>
        <w:spacing w:line="240" w:lineRule="auto"/>
        <w:jc w:val="both"/>
        <w:rPr>
          <w:rFonts w:ascii="Arial" w:hAnsi="Arial" w:cs="Arial"/>
          <w:sz w:val="24"/>
          <w:szCs w:val="24"/>
        </w:rPr>
      </w:pPr>
    </w:p>
    <w:p w14:paraId="7EEFDB0A" w14:textId="1F94998B" w:rsidR="00B84162" w:rsidRDefault="00767EC5" w:rsidP="004D377B">
      <w:pPr>
        <w:spacing w:line="240" w:lineRule="auto"/>
        <w:jc w:val="both"/>
        <w:rPr>
          <w:rFonts w:ascii="Arial" w:hAnsi="Arial" w:cs="Arial"/>
          <w:sz w:val="24"/>
          <w:szCs w:val="24"/>
        </w:rPr>
      </w:pPr>
      <w:r w:rsidRPr="00767EC5">
        <w:rPr>
          <w:rFonts w:ascii="Arial" w:hAnsi="Arial" w:cs="Arial"/>
          <w:sz w:val="24"/>
          <w:szCs w:val="24"/>
        </w:rPr>
        <w:t>Finantseerimistehingud on eelarve põhitegevuse tulude ja põhitegevuse kulude vahe katmiseks teostatavad finantstehingud (laenude võtmised jms). Finantseerimistegevuse rahavoogudes</w:t>
      </w:r>
      <w:r>
        <w:rPr>
          <w:rFonts w:ascii="Arial" w:hAnsi="Arial" w:cs="Arial"/>
          <w:sz w:val="24"/>
          <w:szCs w:val="24"/>
        </w:rPr>
        <w:t xml:space="preserve"> </w:t>
      </w:r>
      <w:r w:rsidRPr="00767EC5">
        <w:rPr>
          <w:rFonts w:ascii="Arial" w:hAnsi="Arial" w:cs="Arial"/>
          <w:sz w:val="24"/>
          <w:szCs w:val="24"/>
        </w:rPr>
        <w:t>käsitletakse tulenevalt KOFS-i regulatsioonist järgmisi elemente: 1) laenude võtmine; 2) võetud laenude tagasimaksmine.</w:t>
      </w:r>
    </w:p>
    <w:p w14:paraId="4F7AA078" w14:textId="5514F2A5" w:rsidR="00205527" w:rsidRDefault="00F20736" w:rsidP="004D377B">
      <w:pPr>
        <w:spacing w:line="240" w:lineRule="auto"/>
        <w:jc w:val="both"/>
        <w:rPr>
          <w:rFonts w:ascii="Arial" w:hAnsi="Arial" w:cs="Arial"/>
          <w:sz w:val="24"/>
          <w:szCs w:val="24"/>
        </w:rPr>
      </w:pPr>
      <w:r w:rsidRPr="001D0D17">
        <w:rPr>
          <w:rFonts w:ascii="Arial" w:hAnsi="Arial" w:cs="Arial"/>
          <w:b/>
          <w:bCs/>
          <w:sz w:val="24"/>
          <w:szCs w:val="24"/>
        </w:rPr>
        <w:t>Valla arengukavas paika pandud investeeringud taristusse eeldavad</w:t>
      </w:r>
      <w:r w:rsidR="00CF7FF6">
        <w:rPr>
          <w:rFonts w:ascii="Arial" w:hAnsi="Arial" w:cs="Arial"/>
          <w:b/>
          <w:bCs/>
          <w:sz w:val="24"/>
          <w:szCs w:val="24"/>
        </w:rPr>
        <w:t xml:space="preserve"> </w:t>
      </w:r>
      <w:r w:rsidRPr="001D0D17">
        <w:rPr>
          <w:rFonts w:ascii="Arial" w:hAnsi="Arial" w:cs="Arial"/>
          <w:b/>
          <w:bCs/>
          <w:sz w:val="24"/>
          <w:szCs w:val="24"/>
        </w:rPr>
        <w:t>finantseerimistehingute suurt mahtu, sest põhitegevuse tulem ei ole piisav</w:t>
      </w:r>
      <w:r w:rsidR="001D0D17" w:rsidRPr="001D0D17">
        <w:rPr>
          <w:rFonts w:ascii="Arial" w:hAnsi="Arial" w:cs="Arial"/>
          <w:b/>
          <w:bCs/>
          <w:sz w:val="24"/>
          <w:szCs w:val="24"/>
        </w:rPr>
        <w:t>.</w:t>
      </w:r>
    </w:p>
    <w:p w14:paraId="3D1CB36C" w14:textId="455FFDDF" w:rsidR="00F461E8" w:rsidRPr="00C2343E" w:rsidRDefault="00F461E8" w:rsidP="004D377B">
      <w:pPr>
        <w:spacing w:line="240" w:lineRule="auto"/>
        <w:jc w:val="both"/>
        <w:rPr>
          <w:rFonts w:ascii="Arial" w:hAnsi="Arial" w:cs="Arial"/>
          <w:sz w:val="24"/>
          <w:szCs w:val="24"/>
        </w:rPr>
      </w:pPr>
      <w:r w:rsidRPr="00F461E8">
        <w:rPr>
          <w:rFonts w:ascii="Arial" w:hAnsi="Arial" w:cs="Arial"/>
          <w:sz w:val="24"/>
          <w:szCs w:val="24"/>
        </w:rPr>
        <w:t>202</w:t>
      </w:r>
      <w:r w:rsidR="00B96DAD">
        <w:rPr>
          <w:rFonts w:ascii="Arial" w:hAnsi="Arial" w:cs="Arial"/>
          <w:sz w:val="24"/>
          <w:szCs w:val="24"/>
        </w:rPr>
        <w:t>4</w:t>
      </w:r>
      <w:r w:rsidRPr="00F461E8">
        <w:rPr>
          <w:rFonts w:ascii="Arial" w:hAnsi="Arial" w:cs="Arial"/>
          <w:sz w:val="24"/>
          <w:szCs w:val="24"/>
        </w:rPr>
        <w:t xml:space="preserve">. aasta alguse seisuga oli vallal </w:t>
      </w:r>
      <w:r w:rsidR="00390DD2">
        <w:rPr>
          <w:rFonts w:ascii="Arial" w:hAnsi="Arial" w:cs="Arial"/>
          <w:sz w:val="24"/>
          <w:szCs w:val="24"/>
        </w:rPr>
        <w:t>võlakohustisi kokku</w:t>
      </w:r>
      <w:r w:rsidRPr="00F461E8">
        <w:rPr>
          <w:rFonts w:ascii="Arial" w:hAnsi="Arial" w:cs="Arial"/>
          <w:sz w:val="24"/>
          <w:szCs w:val="24"/>
        </w:rPr>
        <w:t xml:space="preserve"> </w:t>
      </w:r>
      <w:r w:rsidR="00D017A2">
        <w:rPr>
          <w:rFonts w:ascii="Arial" w:hAnsi="Arial" w:cs="Arial"/>
          <w:sz w:val="24"/>
          <w:szCs w:val="24"/>
        </w:rPr>
        <w:t>19</w:t>
      </w:r>
      <w:r w:rsidR="00054A8B">
        <w:rPr>
          <w:rFonts w:ascii="Arial" w:hAnsi="Arial" w:cs="Arial"/>
          <w:sz w:val="24"/>
          <w:szCs w:val="24"/>
        </w:rPr>
        <w:t>,</w:t>
      </w:r>
      <w:r w:rsidR="00D017A2">
        <w:rPr>
          <w:rFonts w:ascii="Arial" w:hAnsi="Arial" w:cs="Arial"/>
          <w:sz w:val="24"/>
          <w:szCs w:val="24"/>
        </w:rPr>
        <w:t>8</w:t>
      </w:r>
      <w:r w:rsidRPr="00F461E8">
        <w:rPr>
          <w:rFonts w:ascii="Arial" w:hAnsi="Arial" w:cs="Arial"/>
          <w:sz w:val="24"/>
          <w:szCs w:val="24"/>
        </w:rPr>
        <w:t xml:space="preserve"> miljonit eurot. Strateegia perioodil on </w:t>
      </w:r>
      <w:r w:rsidRPr="00C2343E">
        <w:rPr>
          <w:rFonts w:ascii="Arial" w:hAnsi="Arial" w:cs="Arial"/>
          <w:sz w:val="24"/>
          <w:szCs w:val="24"/>
        </w:rPr>
        <w:t xml:space="preserve">kavas võtta uusi kohustusi </w:t>
      </w:r>
      <w:r w:rsidR="00D017A2">
        <w:rPr>
          <w:rFonts w:ascii="Arial" w:hAnsi="Arial" w:cs="Arial"/>
          <w:sz w:val="24"/>
          <w:szCs w:val="24"/>
        </w:rPr>
        <w:t>31</w:t>
      </w:r>
      <w:r w:rsidRPr="00C2343E">
        <w:rPr>
          <w:rFonts w:ascii="Arial" w:hAnsi="Arial" w:cs="Arial"/>
          <w:sz w:val="24"/>
          <w:szCs w:val="24"/>
        </w:rPr>
        <w:t xml:space="preserve"> miljonit eurot ja tasuda kohustusi summas </w:t>
      </w:r>
      <w:r w:rsidR="00742A1A" w:rsidRPr="00C2343E">
        <w:rPr>
          <w:rFonts w:ascii="Arial" w:hAnsi="Arial" w:cs="Arial"/>
          <w:sz w:val="24"/>
          <w:szCs w:val="24"/>
        </w:rPr>
        <w:t>1</w:t>
      </w:r>
      <w:r w:rsidR="00D017A2">
        <w:rPr>
          <w:rFonts w:ascii="Arial" w:hAnsi="Arial" w:cs="Arial"/>
          <w:sz w:val="24"/>
          <w:szCs w:val="24"/>
        </w:rPr>
        <w:t>5</w:t>
      </w:r>
      <w:r w:rsidRPr="00C2343E">
        <w:rPr>
          <w:rFonts w:ascii="Arial" w:hAnsi="Arial" w:cs="Arial"/>
          <w:sz w:val="24"/>
          <w:szCs w:val="24"/>
        </w:rPr>
        <w:t xml:space="preserve"> miljonit eurot. Uute laenude puhul on oluline, laenu tagasimakseperiood ei ületaks investeeringu kasulikku eluiga ja intresside kasvu risk ei jääks pikale perioodile. Seetõttu on arvestatud, et 10 aastase tagasimaksega laenudega</w:t>
      </w:r>
      <w:r w:rsidR="002C5792">
        <w:rPr>
          <w:rFonts w:ascii="Arial" w:hAnsi="Arial" w:cs="Arial"/>
          <w:sz w:val="24"/>
          <w:szCs w:val="24"/>
        </w:rPr>
        <w:t>.</w:t>
      </w:r>
      <w:r w:rsidR="00CE3E8D" w:rsidRPr="00C2343E">
        <w:rPr>
          <w:rFonts w:ascii="Arial" w:hAnsi="Arial" w:cs="Arial"/>
          <w:sz w:val="24"/>
          <w:szCs w:val="24"/>
        </w:rPr>
        <w:t xml:space="preserve"> </w:t>
      </w:r>
      <w:r w:rsidR="002C5792">
        <w:rPr>
          <w:rFonts w:ascii="Arial" w:hAnsi="Arial" w:cs="Arial"/>
          <w:sz w:val="24"/>
          <w:szCs w:val="24"/>
        </w:rPr>
        <w:t>L</w:t>
      </w:r>
      <w:r w:rsidR="00300E5B">
        <w:rPr>
          <w:rFonts w:ascii="Arial" w:hAnsi="Arial" w:cs="Arial"/>
          <w:sz w:val="24"/>
          <w:szCs w:val="24"/>
        </w:rPr>
        <w:t xml:space="preserve">epinguline </w:t>
      </w:r>
      <w:r w:rsidRPr="00C2343E">
        <w:rPr>
          <w:rFonts w:ascii="Arial" w:hAnsi="Arial" w:cs="Arial"/>
          <w:sz w:val="24"/>
          <w:szCs w:val="24"/>
        </w:rPr>
        <w:t xml:space="preserve">intressimäär </w:t>
      </w:r>
      <w:r w:rsidR="002C5792">
        <w:rPr>
          <w:rFonts w:ascii="Arial" w:hAnsi="Arial" w:cs="Arial"/>
          <w:sz w:val="24"/>
          <w:szCs w:val="24"/>
        </w:rPr>
        <w:t xml:space="preserve">on </w:t>
      </w:r>
      <w:r w:rsidR="000070BA">
        <w:rPr>
          <w:rFonts w:ascii="Arial" w:hAnsi="Arial" w:cs="Arial"/>
          <w:sz w:val="24"/>
          <w:szCs w:val="24"/>
        </w:rPr>
        <w:t>0,9</w:t>
      </w:r>
      <w:r w:rsidR="00300E5B">
        <w:rPr>
          <w:rFonts w:ascii="Arial" w:hAnsi="Arial" w:cs="Arial"/>
          <w:sz w:val="24"/>
          <w:szCs w:val="24"/>
        </w:rPr>
        <w:t>-</w:t>
      </w:r>
      <w:r w:rsidR="004075B6">
        <w:rPr>
          <w:rFonts w:ascii="Arial" w:hAnsi="Arial" w:cs="Arial"/>
          <w:sz w:val="24"/>
          <w:szCs w:val="24"/>
        </w:rPr>
        <w:t>1,89% +6</w:t>
      </w:r>
      <w:r w:rsidR="00E02A8C">
        <w:rPr>
          <w:rFonts w:ascii="Arial" w:hAnsi="Arial" w:cs="Arial"/>
          <w:sz w:val="24"/>
          <w:szCs w:val="24"/>
        </w:rPr>
        <w:t xml:space="preserve"> </w:t>
      </w:r>
      <w:r w:rsidR="004075B6">
        <w:rPr>
          <w:rFonts w:ascii="Arial" w:hAnsi="Arial" w:cs="Arial"/>
          <w:sz w:val="24"/>
          <w:szCs w:val="24"/>
        </w:rPr>
        <w:t xml:space="preserve">kuu </w:t>
      </w:r>
      <w:proofErr w:type="spellStart"/>
      <w:r w:rsidR="004075B6">
        <w:rPr>
          <w:rFonts w:ascii="Arial" w:hAnsi="Arial" w:cs="Arial"/>
          <w:sz w:val="24"/>
          <w:szCs w:val="24"/>
        </w:rPr>
        <w:t>Euribor</w:t>
      </w:r>
      <w:proofErr w:type="spellEnd"/>
      <w:r w:rsidR="0090390A" w:rsidRPr="00C2343E">
        <w:rPr>
          <w:rFonts w:ascii="Arial" w:hAnsi="Arial" w:cs="Arial"/>
          <w:sz w:val="24"/>
          <w:szCs w:val="24"/>
        </w:rPr>
        <w:t xml:space="preserve">. </w:t>
      </w:r>
      <w:r w:rsidR="00E02A8C">
        <w:rPr>
          <w:rFonts w:ascii="Arial" w:hAnsi="Arial" w:cs="Arial"/>
          <w:sz w:val="24"/>
          <w:szCs w:val="24"/>
        </w:rPr>
        <w:t>Laenu võtmise e</w:t>
      </w:r>
      <w:r w:rsidRPr="00C2343E">
        <w:rPr>
          <w:rFonts w:ascii="Arial" w:hAnsi="Arial" w:cs="Arial"/>
          <w:sz w:val="24"/>
          <w:szCs w:val="24"/>
        </w:rPr>
        <w:t>simesel aastal põhiosa tagasimakseid ei toimu.</w:t>
      </w:r>
      <w:r w:rsidR="00BC087E">
        <w:rPr>
          <w:rFonts w:ascii="Arial" w:hAnsi="Arial" w:cs="Arial"/>
          <w:sz w:val="24"/>
          <w:szCs w:val="24"/>
        </w:rPr>
        <w:t xml:space="preserve"> </w:t>
      </w:r>
      <w:r w:rsidRPr="00C2343E">
        <w:rPr>
          <w:rFonts w:ascii="Arial" w:hAnsi="Arial" w:cs="Arial"/>
          <w:sz w:val="24"/>
          <w:szCs w:val="24"/>
        </w:rPr>
        <w:t>Olemasolevate ja uute laenude intressikulud sisaldavad</w:t>
      </w:r>
      <w:r w:rsidR="000E12CC">
        <w:rPr>
          <w:rFonts w:ascii="Arial" w:hAnsi="Arial" w:cs="Arial"/>
          <w:sz w:val="24"/>
          <w:szCs w:val="24"/>
        </w:rPr>
        <w:t xml:space="preserve"> lepingulist</w:t>
      </w:r>
      <w:r w:rsidRPr="00C2343E">
        <w:rPr>
          <w:rFonts w:ascii="Arial" w:hAnsi="Arial" w:cs="Arial"/>
          <w:sz w:val="24"/>
          <w:szCs w:val="24"/>
        </w:rPr>
        <w:t xml:space="preserve"> intressimäära ja </w:t>
      </w:r>
      <w:proofErr w:type="spellStart"/>
      <w:r w:rsidRPr="00C2343E">
        <w:rPr>
          <w:rFonts w:ascii="Arial" w:hAnsi="Arial" w:cs="Arial"/>
          <w:sz w:val="24"/>
          <w:szCs w:val="24"/>
        </w:rPr>
        <w:t>euribor</w:t>
      </w:r>
      <w:r w:rsidR="00F566AE" w:rsidRPr="00C2343E">
        <w:rPr>
          <w:rFonts w:ascii="Arial" w:hAnsi="Arial" w:cs="Arial"/>
          <w:sz w:val="24"/>
          <w:szCs w:val="24"/>
        </w:rPr>
        <w:t>i</w:t>
      </w:r>
      <w:proofErr w:type="spellEnd"/>
      <w:r w:rsidR="00F566AE" w:rsidRPr="00C2343E">
        <w:rPr>
          <w:rFonts w:ascii="Arial" w:hAnsi="Arial" w:cs="Arial"/>
          <w:sz w:val="24"/>
          <w:szCs w:val="24"/>
        </w:rPr>
        <w:t xml:space="preserve"> </w:t>
      </w:r>
      <w:r w:rsidR="00495C3D">
        <w:rPr>
          <w:rFonts w:ascii="Arial" w:hAnsi="Arial" w:cs="Arial"/>
          <w:sz w:val="24"/>
          <w:szCs w:val="24"/>
        </w:rPr>
        <w:t>2024.a=</w:t>
      </w:r>
      <w:r w:rsidR="0021654E">
        <w:rPr>
          <w:rFonts w:ascii="Arial" w:hAnsi="Arial" w:cs="Arial"/>
          <w:sz w:val="24"/>
          <w:szCs w:val="24"/>
        </w:rPr>
        <w:t>4%</w:t>
      </w:r>
      <w:r w:rsidR="00495C3D">
        <w:rPr>
          <w:rFonts w:ascii="Arial" w:hAnsi="Arial" w:cs="Arial"/>
          <w:sz w:val="24"/>
          <w:szCs w:val="24"/>
        </w:rPr>
        <w:t>; 2025.a=3,5%; 2026a</w:t>
      </w:r>
      <w:r w:rsidR="006D5059">
        <w:rPr>
          <w:rFonts w:ascii="Arial" w:hAnsi="Arial" w:cs="Arial"/>
          <w:sz w:val="24"/>
          <w:szCs w:val="24"/>
        </w:rPr>
        <w:t xml:space="preserve">=3,0% </w:t>
      </w:r>
      <w:r w:rsidR="002070B2">
        <w:rPr>
          <w:rFonts w:ascii="Arial" w:hAnsi="Arial" w:cs="Arial"/>
          <w:sz w:val="24"/>
          <w:szCs w:val="24"/>
        </w:rPr>
        <w:t>ning</w:t>
      </w:r>
      <w:r w:rsidR="006D5059">
        <w:rPr>
          <w:rFonts w:ascii="Arial" w:hAnsi="Arial" w:cs="Arial"/>
          <w:sz w:val="24"/>
          <w:szCs w:val="24"/>
        </w:rPr>
        <w:t xml:space="preserve"> edaspidi 2,5%, mis vastab Rahandusministeeriumi prognoosile.</w:t>
      </w:r>
    </w:p>
    <w:p w14:paraId="7E549646" w14:textId="39B9ABCA" w:rsidR="0065533C" w:rsidRDefault="0065533C" w:rsidP="00F461E8">
      <w:pPr>
        <w:rPr>
          <w:rFonts w:ascii="Arial" w:hAnsi="Arial" w:cs="Arial"/>
          <w:sz w:val="24"/>
          <w:szCs w:val="24"/>
        </w:rPr>
      </w:pPr>
      <w:r>
        <w:rPr>
          <w:rFonts w:ascii="Arial" w:hAnsi="Arial" w:cs="Arial"/>
          <w:sz w:val="24"/>
          <w:szCs w:val="24"/>
        </w:rPr>
        <w:t xml:space="preserve">Tabel </w:t>
      </w:r>
      <w:r w:rsidR="0074692E">
        <w:rPr>
          <w:rFonts w:ascii="Arial" w:hAnsi="Arial" w:cs="Arial"/>
          <w:sz w:val="24"/>
          <w:szCs w:val="24"/>
        </w:rPr>
        <w:t>13</w:t>
      </w:r>
      <w:r>
        <w:rPr>
          <w:rFonts w:ascii="Arial" w:hAnsi="Arial" w:cs="Arial"/>
          <w:sz w:val="24"/>
          <w:szCs w:val="24"/>
        </w:rPr>
        <w:t>. Finantseerimistegevus (202</w:t>
      </w:r>
      <w:r w:rsidR="00B96DAD">
        <w:rPr>
          <w:rFonts w:ascii="Arial" w:hAnsi="Arial" w:cs="Arial"/>
          <w:sz w:val="24"/>
          <w:szCs w:val="24"/>
        </w:rPr>
        <w:t>3</w:t>
      </w:r>
      <w:r>
        <w:rPr>
          <w:rFonts w:ascii="Arial" w:hAnsi="Arial" w:cs="Arial"/>
          <w:sz w:val="24"/>
          <w:szCs w:val="24"/>
        </w:rPr>
        <w:t>-202</w:t>
      </w:r>
      <w:r w:rsidR="00B96DAD">
        <w:rPr>
          <w:rFonts w:ascii="Arial" w:hAnsi="Arial" w:cs="Arial"/>
          <w:sz w:val="24"/>
          <w:szCs w:val="24"/>
        </w:rPr>
        <w:t>8</w:t>
      </w:r>
      <w:r>
        <w:rPr>
          <w:rFonts w:ascii="Arial" w:hAnsi="Arial" w:cs="Arial"/>
          <w:sz w:val="24"/>
          <w:szCs w:val="24"/>
        </w:rPr>
        <w:t>)</w:t>
      </w:r>
    </w:p>
    <w:p w14:paraId="7BEABAD2" w14:textId="4036490C" w:rsidR="007F2AE2" w:rsidRDefault="00B96DAD" w:rsidP="00F461E8">
      <w:pPr>
        <w:rPr>
          <w:rFonts w:ascii="Arial" w:hAnsi="Arial" w:cs="Arial"/>
          <w:sz w:val="24"/>
          <w:szCs w:val="24"/>
        </w:rPr>
      </w:pPr>
      <w:r w:rsidRPr="00B96DAD">
        <w:drawing>
          <wp:inline distT="0" distB="0" distL="0" distR="0" wp14:anchorId="3B7CC1D6" wp14:editId="416440C8">
            <wp:extent cx="5760720" cy="2042795"/>
            <wp:effectExtent l="0" t="0" r="0" b="0"/>
            <wp:docPr id="10539233"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042795"/>
                    </a:xfrm>
                    <a:prstGeom prst="rect">
                      <a:avLst/>
                    </a:prstGeom>
                    <a:noFill/>
                    <a:ln>
                      <a:noFill/>
                    </a:ln>
                  </pic:spPr>
                </pic:pic>
              </a:graphicData>
            </a:graphic>
          </wp:inline>
        </w:drawing>
      </w:r>
    </w:p>
    <w:p w14:paraId="059C3F43" w14:textId="7F8589B5" w:rsidR="00C7451D" w:rsidRDefault="00F931BB" w:rsidP="00902A4F">
      <w:pPr>
        <w:spacing w:line="240" w:lineRule="auto"/>
        <w:jc w:val="both"/>
        <w:rPr>
          <w:rFonts w:ascii="Arial" w:hAnsi="Arial" w:cs="Arial"/>
          <w:sz w:val="24"/>
          <w:szCs w:val="24"/>
        </w:rPr>
      </w:pPr>
      <w:r w:rsidRPr="00F931BB">
        <w:rPr>
          <w:rFonts w:ascii="Arial" w:hAnsi="Arial" w:cs="Arial"/>
          <w:sz w:val="24"/>
          <w:szCs w:val="24"/>
        </w:rPr>
        <w:t>202</w:t>
      </w:r>
      <w:r w:rsidR="00ED0315">
        <w:rPr>
          <w:rFonts w:ascii="Arial" w:hAnsi="Arial" w:cs="Arial"/>
          <w:sz w:val="24"/>
          <w:szCs w:val="24"/>
        </w:rPr>
        <w:t>3</w:t>
      </w:r>
      <w:r w:rsidRPr="00F931BB">
        <w:rPr>
          <w:rFonts w:ascii="Arial" w:hAnsi="Arial" w:cs="Arial"/>
          <w:sz w:val="24"/>
          <w:szCs w:val="24"/>
        </w:rPr>
        <w:t xml:space="preserve">. aasta likviidsete vahendite saldo põhineb kinnitatud </w:t>
      </w:r>
      <w:r>
        <w:rPr>
          <w:rFonts w:ascii="Arial" w:hAnsi="Arial" w:cs="Arial"/>
          <w:sz w:val="24"/>
          <w:szCs w:val="24"/>
        </w:rPr>
        <w:t>majandusaasta aruandel</w:t>
      </w:r>
      <w:r w:rsidRPr="00F931BB">
        <w:rPr>
          <w:rFonts w:ascii="Arial" w:hAnsi="Arial" w:cs="Arial"/>
          <w:sz w:val="24"/>
          <w:szCs w:val="24"/>
        </w:rPr>
        <w:t xml:space="preserve">. Likviidsete vahendite mahu puhul tuleb arvestada asjaolu, et võimalike </w:t>
      </w:r>
      <w:r w:rsidRPr="00F931BB">
        <w:rPr>
          <w:rFonts w:ascii="Arial" w:hAnsi="Arial" w:cs="Arial"/>
          <w:sz w:val="24"/>
          <w:szCs w:val="24"/>
        </w:rPr>
        <w:lastRenderedPageBreak/>
        <w:t>investeeringutoetuste laekumine on ebaselge, siis tulude ülelaekumisel (kulude alatäitumisel) suureneb vabade vahendite jääk ja omakorda väheneb netovõlakoorma tase, mis loob puhvri strateegias kavandatud investeeringute elluviimiseks omarahastuse arvelt.</w:t>
      </w:r>
    </w:p>
    <w:p w14:paraId="2572E60A" w14:textId="77777777" w:rsidR="00A30E07" w:rsidRDefault="00A30E07" w:rsidP="00902A4F">
      <w:pPr>
        <w:spacing w:line="240" w:lineRule="auto"/>
        <w:jc w:val="both"/>
        <w:rPr>
          <w:rFonts w:ascii="Arial" w:hAnsi="Arial" w:cs="Arial"/>
          <w:sz w:val="24"/>
          <w:szCs w:val="24"/>
        </w:rPr>
      </w:pPr>
    </w:p>
    <w:p w14:paraId="68E52D77" w14:textId="1284F032" w:rsidR="00546E9E" w:rsidRPr="00B21F07" w:rsidRDefault="00546E9E" w:rsidP="00992BE1">
      <w:pPr>
        <w:pStyle w:val="Pealkiri2"/>
        <w:numPr>
          <w:ilvl w:val="0"/>
          <w:numId w:val="16"/>
        </w:numPr>
        <w:rPr>
          <w:b/>
          <w:bCs/>
          <w:sz w:val="32"/>
          <w:szCs w:val="32"/>
        </w:rPr>
      </w:pPr>
      <w:bookmarkStart w:id="16" w:name="_Toc173767791"/>
      <w:r w:rsidRPr="00B21F07">
        <w:rPr>
          <w:b/>
          <w:bCs/>
          <w:sz w:val="32"/>
          <w:szCs w:val="32"/>
        </w:rPr>
        <w:t>Põhitegevuse tulem ja netovõlakoormus</w:t>
      </w:r>
      <w:bookmarkEnd w:id="16"/>
    </w:p>
    <w:p w14:paraId="1E8ACF57" w14:textId="77777777" w:rsidR="00CA072A" w:rsidRPr="00CA072A" w:rsidRDefault="00CA072A" w:rsidP="00CA072A"/>
    <w:p w14:paraId="57A1AC13" w14:textId="263DA398" w:rsidR="0062286A" w:rsidRDefault="001C4FB3" w:rsidP="000D3B11">
      <w:pPr>
        <w:spacing w:line="240" w:lineRule="auto"/>
        <w:jc w:val="both"/>
        <w:rPr>
          <w:rFonts w:ascii="Arial" w:hAnsi="Arial" w:cs="Arial"/>
          <w:sz w:val="24"/>
          <w:szCs w:val="24"/>
        </w:rPr>
      </w:pPr>
      <w:r w:rsidRPr="001C4FB3">
        <w:rPr>
          <w:rFonts w:ascii="Arial" w:hAnsi="Arial" w:cs="Arial"/>
          <w:sz w:val="24"/>
          <w:szCs w:val="24"/>
        </w:rPr>
        <w:t>Eelarvestrateegias tuleb planeerida põhitegevuse tulem ja netovõlakoormus. Põhitegevuse tulem on põhitegevuse tulude ja põhitegevuse kulude vahe. Põhitegevuse tulemi väärtus ei või olla väiksem kui 0.</w:t>
      </w:r>
      <w:r w:rsidR="009A21A9">
        <w:rPr>
          <w:rFonts w:ascii="Arial" w:hAnsi="Arial" w:cs="Arial"/>
          <w:sz w:val="24"/>
          <w:szCs w:val="24"/>
        </w:rPr>
        <w:t xml:space="preserve"> </w:t>
      </w:r>
      <w:r w:rsidR="00BC087E" w:rsidRPr="00BC087E">
        <w:rPr>
          <w:rFonts w:ascii="Arial" w:hAnsi="Arial" w:cs="Arial"/>
          <w:sz w:val="24"/>
          <w:szCs w:val="24"/>
        </w:rPr>
        <w:t>Finantseerimistegevuse rahavoogudes on kesksel kohal netovõlakoormus ehk võlakohust</w:t>
      </w:r>
      <w:r w:rsidR="005E38A6">
        <w:rPr>
          <w:rFonts w:ascii="Arial" w:hAnsi="Arial" w:cs="Arial"/>
          <w:sz w:val="24"/>
          <w:szCs w:val="24"/>
        </w:rPr>
        <w:t>i</w:t>
      </w:r>
      <w:r w:rsidR="00BC087E" w:rsidRPr="00BC087E">
        <w:rPr>
          <w:rFonts w:ascii="Arial" w:hAnsi="Arial" w:cs="Arial"/>
          <w:sz w:val="24"/>
          <w:szCs w:val="24"/>
        </w:rPr>
        <w:t>ste suuruse ja likviidsete varade (raha ja pangakontodel olevaid vahendeid) kogusumma vahe, kus netovõlakoormuse arvestuses võetakse võlakohust</w:t>
      </w:r>
      <w:r w:rsidR="005E38A6">
        <w:rPr>
          <w:rFonts w:ascii="Arial" w:hAnsi="Arial" w:cs="Arial"/>
          <w:sz w:val="24"/>
          <w:szCs w:val="24"/>
        </w:rPr>
        <w:t>i</w:t>
      </w:r>
      <w:r w:rsidR="00BC087E" w:rsidRPr="00BC087E">
        <w:rPr>
          <w:rFonts w:ascii="Arial" w:hAnsi="Arial" w:cs="Arial"/>
          <w:sz w:val="24"/>
          <w:szCs w:val="24"/>
        </w:rPr>
        <w:t>stena arvesse bilansis kajastatud kohust</w:t>
      </w:r>
      <w:r w:rsidR="005E38A6">
        <w:rPr>
          <w:rFonts w:ascii="Arial" w:hAnsi="Arial" w:cs="Arial"/>
          <w:sz w:val="24"/>
          <w:szCs w:val="24"/>
        </w:rPr>
        <w:t>i</w:t>
      </w:r>
      <w:r w:rsidR="00BC087E" w:rsidRPr="00BC087E">
        <w:rPr>
          <w:rFonts w:ascii="Arial" w:hAnsi="Arial" w:cs="Arial"/>
          <w:sz w:val="24"/>
          <w:szCs w:val="24"/>
        </w:rPr>
        <w:t xml:space="preserve">sed. </w:t>
      </w:r>
    </w:p>
    <w:p w14:paraId="2F266B3A" w14:textId="1AB7540D" w:rsidR="00782826" w:rsidRDefault="000D3B11" w:rsidP="000D3B11">
      <w:pPr>
        <w:spacing w:line="240" w:lineRule="auto"/>
        <w:jc w:val="both"/>
        <w:rPr>
          <w:rFonts w:ascii="Arial" w:hAnsi="Arial" w:cs="Arial"/>
          <w:sz w:val="24"/>
          <w:szCs w:val="24"/>
        </w:rPr>
      </w:pPr>
      <w:r w:rsidRPr="000D3B11">
        <w:rPr>
          <w:rFonts w:ascii="Arial" w:hAnsi="Arial" w:cs="Arial"/>
          <w:sz w:val="24"/>
          <w:szCs w:val="24"/>
        </w:rPr>
        <w:t>Maksimaalne lubatav netovõlakoormus võib olla 6-kordne põhitegevuse tulem või 60%</w:t>
      </w:r>
      <w:r w:rsidR="0062286A">
        <w:rPr>
          <w:rFonts w:ascii="Arial" w:hAnsi="Arial" w:cs="Arial"/>
          <w:sz w:val="24"/>
          <w:szCs w:val="24"/>
        </w:rPr>
        <w:t xml:space="preserve"> </w:t>
      </w:r>
      <w:r w:rsidRPr="000D3B11">
        <w:rPr>
          <w:rFonts w:ascii="Arial" w:hAnsi="Arial" w:cs="Arial"/>
          <w:sz w:val="24"/>
          <w:szCs w:val="24"/>
        </w:rPr>
        <w:t>põhitegevuse tuludest, kumb on suurem, kuid mitte rohkem kui 100%. Covid-19 pandeemiast</w:t>
      </w:r>
      <w:r w:rsidR="0062286A">
        <w:rPr>
          <w:rFonts w:ascii="Arial" w:hAnsi="Arial" w:cs="Arial"/>
          <w:sz w:val="24"/>
          <w:szCs w:val="24"/>
        </w:rPr>
        <w:t xml:space="preserve"> </w:t>
      </w:r>
      <w:r w:rsidRPr="000D3B11">
        <w:rPr>
          <w:rFonts w:ascii="Arial" w:hAnsi="Arial" w:cs="Arial"/>
          <w:sz w:val="24"/>
          <w:szCs w:val="24"/>
        </w:rPr>
        <w:t>tingitud majandusolukorra tõttu on 60% tingimus asendatud leebemate piirmääradega. Aastatel</w:t>
      </w:r>
      <w:r w:rsidR="0062286A">
        <w:rPr>
          <w:rFonts w:ascii="Arial" w:hAnsi="Arial" w:cs="Arial"/>
          <w:sz w:val="24"/>
          <w:szCs w:val="24"/>
        </w:rPr>
        <w:t xml:space="preserve"> </w:t>
      </w:r>
      <w:r w:rsidRPr="000D3B11">
        <w:rPr>
          <w:rFonts w:ascii="Arial" w:hAnsi="Arial" w:cs="Arial"/>
          <w:sz w:val="24"/>
          <w:szCs w:val="24"/>
        </w:rPr>
        <w:t>2020-2024 on 60% kriteeriumi asemel 80% ning 6-kordse põhitegevuse tulemi asemel 10-kordne tulem. Aastal 2025 on nimetatud piirmäärad 75% ja 9-kordne tulem, 2026.aastal 70%</w:t>
      </w:r>
      <w:r w:rsidR="0062286A">
        <w:rPr>
          <w:rFonts w:ascii="Arial" w:hAnsi="Arial" w:cs="Arial"/>
          <w:sz w:val="24"/>
          <w:szCs w:val="24"/>
        </w:rPr>
        <w:t xml:space="preserve"> </w:t>
      </w:r>
      <w:r w:rsidRPr="000D3B11">
        <w:rPr>
          <w:rFonts w:ascii="Arial" w:hAnsi="Arial" w:cs="Arial"/>
          <w:sz w:val="24"/>
          <w:szCs w:val="24"/>
        </w:rPr>
        <w:t>ja 8-kordne tulem ning 2027.aastal 65% ja 7-kordne tulem. Alates 2028.aastast kehtivad</w:t>
      </w:r>
      <w:r w:rsidR="0062286A">
        <w:rPr>
          <w:rFonts w:ascii="Arial" w:hAnsi="Arial" w:cs="Arial"/>
          <w:sz w:val="24"/>
          <w:szCs w:val="24"/>
        </w:rPr>
        <w:t xml:space="preserve"> </w:t>
      </w:r>
      <w:r w:rsidRPr="000D3B11">
        <w:rPr>
          <w:rFonts w:ascii="Arial" w:hAnsi="Arial" w:cs="Arial"/>
          <w:sz w:val="24"/>
          <w:szCs w:val="24"/>
        </w:rPr>
        <w:t>endised piirmäärad (KOFS § 59 lõige 13).</w:t>
      </w:r>
    </w:p>
    <w:p w14:paraId="28EA65F7" w14:textId="5F211EC4" w:rsidR="00546E9E" w:rsidRDefault="00BC087E" w:rsidP="000D3B11">
      <w:pPr>
        <w:spacing w:line="240" w:lineRule="auto"/>
        <w:jc w:val="both"/>
        <w:rPr>
          <w:rFonts w:ascii="Arial" w:hAnsi="Arial" w:cs="Arial"/>
          <w:sz w:val="24"/>
          <w:szCs w:val="24"/>
        </w:rPr>
      </w:pPr>
      <w:r w:rsidRPr="00BC087E">
        <w:rPr>
          <w:rFonts w:ascii="Arial" w:hAnsi="Arial" w:cs="Arial"/>
          <w:sz w:val="24"/>
          <w:szCs w:val="24"/>
        </w:rPr>
        <w:t>202</w:t>
      </w:r>
      <w:r w:rsidR="00C0022C">
        <w:rPr>
          <w:rFonts w:ascii="Arial" w:hAnsi="Arial" w:cs="Arial"/>
          <w:sz w:val="24"/>
          <w:szCs w:val="24"/>
        </w:rPr>
        <w:t>3.</w:t>
      </w:r>
      <w:r w:rsidRPr="00BC087E">
        <w:rPr>
          <w:rFonts w:ascii="Arial" w:hAnsi="Arial" w:cs="Arial"/>
          <w:sz w:val="24"/>
          <w:szCs w:val="24"/>
        </w:rPr>
        <w:t>a lõpu</w:t>
      </w:r>
      <w:r w:rsidR="00CA072A">
        <w:rPr>
          <w:rFonts w:ascii="Arial" w:hAnsi="Arial" w:cs="Arial"/>
          <w:sz w:val="24"/>
          <w:szCs w:val="24"/>
        </w:rPr>
        <w:t xml:space="preserve"> </w:t>
      </w:r>
      <w:r w:rsidRPr="00BC087E">
        <w:rPr>
          <w:rFonts w:ascii="Arial" w:hAnsi="Arial" w:cs="Arial"/>
          <w:sz w:val="24"/>
          <w:szCs w:val="24"/>
        </w:rPr>
        <w:t>seisuga oli valla netovõlakoormus ligi 6</w:t>
      </w:r>
      <w:r w:rsidR="00B66AD6">
        <w:rPr>
          <w:rFonts w:ascii="Arial" w:hAnsi="Arial" w:cs="Arial"/>
          <w:sz w:val="24"/>
          <w:szCs w:val="24"/>
        </w:rPr>
        <w:t>8</w:t>
      </w:r>
      <w:r w:rsidRPr="00BC087E">
        <w:rPr>
          <w:rFonts w:ascii="Arial" w:hAnsi="Arial" w:cs="Arial"/>
          <w:sz w:val="24"/>
          <w:szCs w:val="24"/>
        </w:rPr>
        <w:t>%. Kuna Tartu vallal on investeeringuid vaja ellu viia suuremas summas kui on planeeritav põhitegevuse tulem ja vallal ei ole käesoleval hetkel suuri rahalisi reserve, siis saab finantseerimistehingute katteallikaks olla ainult uute kohustuste võtmine.</w:t>
      </w:r>
    </w:p>
    <w:p w14:paraId="5C1E06D3" w14:textId="01400897" w:rsidR="000B6D54" w:rsidRDefault="00F52175" w:rsidP="00F931BB">
      <w:pPr>
        <w:rPr>
          <w:rFonts w:ascii="Arial" w:hAnsi="Arial" w:cs="Arial"/>
          <w:sz w:val="24"/>
          <w:szCs w:val="24"/>
        </w:rPr>
      </w:pPr>
      <w:r>
        <w:rPr>
          <w:rFonts w:ascii="Arial" w:hAnsi="Arial" w:cs="Arial"/>
          <w:sz w:val="24"/>
          <w:szCs w:val="24"/>
        </w:rPr>
        <w:t xml:space="preserve">Tabel </w:t>
      </w:r>
      <w:r w:rsidR="00E60588">
        <w:rPr>
          <w:rFonts w:ascii="Arial" w:hAnsi="Arial" w:cs="Arial"/>
          <w:sz w:val="24"/>
          <w:szCs w:val="24"/>
        </w:rPr>
        <w:t>14</w:t>
      </w:r>
      <w:r>
        <w:rPr>
          <w:rFonts w:ascii="Arial" w:hAnsi="Arial" w:cs="Arial"/>
          <w:sz w:val="24"/>
          <w:szCs w:val="24"/>
        </w:rPr>
        <w:t>. Netovõlakoormuse lubatud ja tegelik m</w:t>
      </w:r>
      <w:r w:rsidR="0056631B">
        <w:rPr>
          <w:rFonts w:ascii="Arial" w:hAnsi="Arial" w:cs="Arial"/>
          <w:sz w:val="24"/>
          <w:szCs w:val="24"/>
        </w:rPr>
        <w:t>äär (202</w:t>
      </w:r>
      <w:r w:rsidR="00E7116B">
        <w:rPr>
          <w:rFonts w:ascii="Arial" w:hAnsi="Arial" w:cs="Arial"/>
          <w:sz w:val="24"/>
          <w:szCs w:val="24"/>
        </w:rPr>
        <w:t>3</w:t>
      </w:r>
      <w:r w:rsidR="0056631B">
        <w:rPr>
          <w:rFonts w:ascii="Arial" w:hAnsi="Arial" w:cs="Arial"/>
          <w:sz w:val="24"/>
          <w:szCs w:val="24"/>
        </w:rPr>
        <w:t>-202</w:t>
      </w:r>
      <w:r w:rsidR="00E7116B">
        <w:rPr>
          <w:rFonts w:ascii="Arial" w:hAnsi="Arial" w:cs="Arial"/>
          <w:sz w:val="24"/>
          <w:szCs w:val="24"/>
        </w:rPr>
        <w:t>8</w:t>
      </w:r>
      <w:r w:rsidR="0056631B">
        <w:rPr>
          <w:rFonts w:ascii="Arial" w:hAnsi="Arial" w:cs="Arial"/>
          <w:sz w:val="24"/>
          <w:szCs w:val="24"/>
        </w:rPr>
        <w:t>)</w:t>
      </w:r>
    </w:p>
    <w:p w14:paraId="316662D3" w14:textId="380CD3F0" w:rsidR="00F80EAD" w:rsidRDefault="002E7AB9" w:rsidP="00F931BB">
      <w:pPr>
        <w:rPr>
          <w:rFonts w:ascii="Arial" w:hAnsi="Arial" w:cs="Arial"/>
          <w:sz w:val="24"/>
          <w:szCs w:val="24"/>
        </w:rPr>
      </w:pPr>
      <w:r w:rsidRPr="002E7AB9">
        <w:drawing>
          <wp:inline distT="0" distB="0" distL="0" distR="0" wp14:anchorId="1CAD23D2" wp14:editId="27921973">
            <wp:extent cx="5760720" cy="1694815"/>
            <wp:effectExtent l="0" t="0" r="0" b="635"/>
            <wp:docPr id="829473958"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694815"/>
                    </a:xfrm>
                    <a:prstGeom prst="rect">
                      <a:avLst/>
                    </a:prstGeom>
                    <a:noFill/>
                    <a:ln>
                      <a:noFill/>
                    </a:ln>
                  </pic:spPr>
                </pic:pic>
              </a:graphicData>
            </a:graphic>
          </wp:inline>
        </w:drawing>
      </w:r>
    </w:p>
    <w:p w14:paraId="05A3CE4D" w14:textId="31E66C3F" w:rsidR="00CE46B8" w:rsidRDefault="00CE46B8" w:rsidP="009D2000">
      <w:pPr>
        <w:spacing w:line="240" w:lineRule="auto"/>
        <w:jc w:val="both"/>
        <w:rPr>
          <w:rFonts w:ascii="Arial" w:hAnsi="Arial" w:cs="Arial"/>
          <w:sz w:val="24"/>
          <w:szCs w:val="24"/>
        </w:rPr>
      </w:pPr>
      <w:r w:rsidRPr="00CE46B8">
        <w:rPr>
          <w:rFonts w:ascii="Arial" w:hAnsi="Arial" w:cs="Arial"/>
          <w:sz w:val="24"/>
          <w:szCs w:val="24"/>
        </w:rPr>
        <w:t xml:space="preserve">Valla netovõlakoormus strateegiaperioodil suureneb, kuid ei ületa lubatavat </w:t>
      </w:r>
      <w:r w:rsidR="00A704EF">
        <w:rPr>
          <w:rFonts w:ascii="Arial" w:hAnsi="Arial" w:cs="Arial"/>
          <w:sz w:val="24"/>
          <w:szCs w:val="24"/>
        </w:rPr>
        <w:t xml:space="preserve">individuaalset </w:t>
      </w:r>
      <w:r w:rsidRPr="00CE46B8">
        <w:rPr>
          <w:rFonts w:ascii="Arial" w:hAnsi="Arial" w:cs="Arial"/>
          <w:sz w:val="24"/>
          <w:szCs w:val="24"/>
        </w:rPr>
        <w:t>ülemmäära.</w:t>
      </w:r>
      <w:r w:rsidR="000054E8">
        <w:rPr>
          <w:rFonts w:ascii="Arial" w:hAnsi="Arial" w:cs="Arial"/>
          <w:sz w:val="24"/>
          <w:szCs w:val="24"/>
        </w:rPr>
        <w:t xml:space="preserve"> </w:t>
      </w:r>
    </w:p>
    <w:p w14:paraId="5D75DE2D" w14:textId="77777777" w:rsidR="009378F4" w:rsidRDefault="009378F4" w:rsidP="009D2000">
      <w:pPr>
        <w:spacing w:line="240" w:lineRule="auto"/>
        <w:jc w:val="both"/>
        <w:rPr>
          <w:rFonts w:ascii="Arial" w:hAnsi="Arial" w:cs="Arial"/>
          <w:sz w:val="24"/>
          <w:szCs w:val="24"/>
        </w:rPr>
      </w:pPr>
    </w:p>
    <w:p w14:paraId="67AE7645" w14:textId="40C0B2DE" w:rsidR="00C84506" w:rsidRPr="00B21F07" w:rsidRDefault="00CD2EC2" w:rsidP="00992BE1">
      <w:pPr>
        <w:pStyle w:val="Pealkiri2"/>
        <w:numPr>
          <w:ilvl w:val="0"/>
          <w:numId w:val="16"/>
        </w:numPr>
        <w:rPr>
          <w:b/>
          <w:bCs/>
          <w:sz w:val="32"/>
          <w:szCs w:val="32"/>
        </w:rPr>
      </w:pPr>
      <w:bookmarkStart w:id="17" w:name="_Toc173767792"/>
      <w:r w:rsidRPr="00B21F07">
        <w:rPr>
          <w:b/>
          <w:bCs/>
          <w:sz w:val="32"/>
          <w:szCs w:val="32"/>
        </w:rPr>
        <w:t>Arvestusüksus</w:t>
      </w:r>
      <w:r w:rsidR="00FE64C5" w:rsidRPr="00B21F07">
        <w:rPr>
          <w:b/>
          <w:bCs/>
          <w:sz w:val="32"/>
          <w:szCs w:val="32"/>
        </w:rPr>
        <w:t>ed</w:t>
      </w:r>
      <w:r w:rsidRPr="00B21F07">
        <w:rPr>
          <w:b/>
          <w:bCs/>
          <w:sz w:val="32"/>
          <w:szCs w:val="32"/>
        </w:rPr>
        <w:t xml:space="preserve"> ja finantsdistsipliin</w:t>
      </w:r>
      <w:bookmarkEnd w:id="17"/>
    </w:p>
    <w:p w14:paraId="5FE801ED" w14:textId="77777777" w:rsidR="009D2000" w:rsidRDefault="009D2000" w:rsidP="004F15F1">
      <w:pPr>
        <w:rPr>
          <w:rFonts w:ascii="Arial" w:hAnsi="Arial" w:cs="Arial"/>
          <w:sz w:val="24"/>
          <w:szCs w:val="24"/>
        </w:rPr>
      </w:pPr>
    </w:p>
    <w:p w14:paraId="7E96B73E" w14:textId="1A483A0F" w:rsidR="004F15F1" w:rsidRDefault="004F15F1" w:rsidP="009D2000">
      <w:pPr>
        <w:spacing w:line="240" w:lineRule="auto"/>
        <w:jc w:val="both"/>
        <w:rPr>
          <w:rFonts w:ascii="Arial" w:hAnsi="Arial" w:cs="Arial"/>
          <w:sz w:val="24"/>
          <w:szCs w:val="24"/>
        </w:rPr>
      </w:pPr>
      <w:r w:rsidRPr="004F15F1">
        <w:rPr>
          <w:rFonts w:ascii="Arial" w:hAnsi="Arial" w:cs="Arial"/>
          <w:sz w:val="24"/>
          <w:szCs w:val="24"/>
        </w:rPr>
        <w:t>Eelarvestrateegia koostatakse</w:t>
      </w:r>
      <w:r w:rsidR="00E74DDC">
        <w:rPr>
          <w:rFonts w:ascii="Arial" w:hAnsi="Arial" w:cs="Arial"/>
          <w:sz w:val="24"/>
          <w:szCs w:val="24"/>
        </w:rPr>
        <w:t xml:space="preserve"> ka</w:t>
      </w:r>
      <w:r w:rsidRPr="004F15F1">
        <w:rPr>
          <w:rFonts w:ascii="Arial" w:hAnsi="Arial" w:cs="Arial"/>
          <w:sz w:val="24"/>
          <w:szCs w:val="24"/>
        </w:rPr>
        <w:t xml:space="preserve"> kohaliku omavalitsuse arvestusüksustele. </w:t>
      </w:r>
      <w:r w:rsidR="008A33C2">
        <w:rPr>
          <w:rFonts w:ascii="Arial" w:hAnsi="Arial" w:cs="Arial"/>
          <w:sz w:val="24"/>
          <w:szCs w:val="24"/>
        </w:rPr>
        <w:t>Tartu</w:t>
      </w:r>
      <w:r w:rsidRPr="004F15F1">
        <w:rPr>
          <w:rFonts w:ascii="Arial" w:hAnsi="Arial" w:cs="Arial"/>
          <w:sz w:val="24"/>
          <w:szCs w:val="24"/>
        </w:rPr>
        <w:t xml:space="preserve"> vallal on </w:t>
      </w:r>
      <w:r w:rsidR="004F006E">
        <w:rPr>
          <w:rFonts w:ascii="Arial" w:hAnsi="Arial" w:cs="Arial"/>
          <w:sz w:val="24"/>
          <w:szCs w:val="24"/>
        </w:rPr>
        <w:t>kolm</w:t>
      </w:r>
      <w:r w:rsidRPr="004F15F1">
        <w:rPr>
          <w:rFonts w:ascii="Arial" w:hAnsi="Arial" w:cs="Arial"/>
          <w:sz w:val="24"/>
          <w:szCs w:val="24"/>
        </w:rPr>
        <w:t xml:space="preserve"> sõltuvat üksust:</w:t>
      </w:r>
    </w:p>
    <w:p w14:paraId="0124F53F" w14:textId="1B18B023" w:rsidR="004F15F1" w:rsidRPr="0094611A" w:rsidRDefault="0094611A" w:rsidP="009D2000">
      <w:pPr>
        <w:pStyle w:val="Loendilik"/>
        <w:numPr>
          <w:ilvl w:val="0"/>
          <w:numId w:val="13"/>
        </w:numPr>
        <w:spacing w:line="240" w:lineRule="auto"/>
        <w:jc w:val="both"/>
        <w:rPr>
          <w:rFonts w:ascii="Arial" w:hAnsi="Arial" w:cs="Arial"/>
          <w:sz w:val="24"/>
          <w:szCs w:val="24"/>
        </w:rPr>
      </w:pPr>
      <w:r w:rsidRPr="0094611A">
        <w:rPr>
          <w:rFonts w:ascii="Arial" w:hAnsi="Arial" w:cs="Arial"/>
          <w:sz w:val="24"/>
          <w:szCs w:val="24"/>
        </w:rPr>
        <w:lastRenderedPageBreak/>
        <w:t xml:space="preserve">Tartu Valla </w:t>
      </w:r>
      <w:r w:rsidR="00E7116B">
        <w:rPr>
          <w:rFonts w:ascii="Arial" w:hAnsi="Arial" w:cs="Arial"/>
          <w:sz w:val="24"/>
          <w:szCs w:val="24"/>
        </w:rPr>
        <w:t>Haldus</w:t>
      </w:r>
      <w:r w:rsidRPr="0094611A">
        <w:rPr>
          <w:rFonts w:ascii="Arial" w:hAnsi="Arial" w:cs="Arial"/>
          <w:sz w:val="24"/>
          <w:szCs w:val="24"/>
        </w:rPr>
        <w:t xml:space="preserve"> OÜ</w:t>
      </w:r>
    </w:p>
    <w:p w14:paraId="7DC3CA20" w14:textId="078F6046" w:rsidR="0094611A" w:rsidRPr="0094611A" w:rsidRDefault="0094611A" w:rsidP="009D2000">
      <w:pPr>
        <w:pStyle w:val="Loendilik"/>
        <w:numPr>
          <w:ilvl w:val="0"/>
          <w:numId w:val="13"/>
        </w:numPr>
        <w:spacing w:line="240" w:lineRule="auto"/>
        <w:jc w:val="both"/>
        <w:rPr>
          <w:rFonts w:ascii="Arial" w:hAnsi="Arial" w:cs="Arial"/>
          <w:sz w:val="24"/>
          <w:szCs w:val="24"/>
        </w:rPr>
      </w:pPr>
      <w:r w:rsidRPr="0094611A">
        <w:rPr>
          <w:rFonts w:ascii="Arial" w:hAnsi="Arial" w:cs="Arial"/>
          <w:sz w:val="24"/>
          <w:szCs w:val="24"/>
        </w:rPr>
        <w:t>Raadi SA</w:t>
      </w:r>
    </w:p>
    <w:p w14:paraId="226D1FAB" w14:textId="0BD7AB3A" w:rsidR="0094611A" w:rsidRDefault="0094611A" w:rsidP="009D2000">
      <w:pPr>
        <w:pStyle w:val="Loendilik"/>
        <w:numPr>
          <w:ilvl w:val="0"/>
          <w:numId w:val="13"/>
        </w:numPr>
        <w:spacing w:line="240" w:lineRule="auto"/>
        <w:jc w:val="both"/>
        <w:rPr>
          <w:rFonts w:ascii="Arial" w:hAnsi="Arial" w:cs="Arial"/>
          <w:sz w:val="24"/>
          <w:szCs w:val="24"/>
        </w:rPr>
      </w:pPr>
      <w:r w:rsidRPr="0094611A">
        <w:rPr>
          <w:rFonts w:ascii="Arial" w:hAnsi="Arial" w:cs="Arial"/>
          <w:sz w:val="24"/>
          <w:szCs w:val="24"/>
        </w:rPr>
        <w:t>Saadjärve SA</w:t>
      </w:r>
    </w:p>
    <w:p w14:paraId="547D1F08" w14:textId="77777777" w:rsidR="005943AA" w:rsidRDefault="004F006E" w:rsidP="009D2000">
      <w:pPr>
        <w:spacing w:line="240" w:lineRule="auto"/>
        <w:jc w:val="both"/>
        <w:rPr>
          <w:rFonts w:ascii="Arial" w:hAnsi="Arial" w:cs="Arial"/>
          <w:sz w:val="24"/>
          <w:szCs w:val="24"/>
        </w:rPr>
      </w:pPr>
      <w:r w:rsidRPr="004F006E">
        <w:rPr>
          <w:rFonts w:ascii="Arial" w:hAnsi="Arial" w:cs="Arial"/>
          <w:sz w:val="24"/>
          <w:szCs w:val="24"/>
        </w:rPr>
        <w:t>Sõltuvate üksuste põhitegevuse tulemi ja netovõlakoormuse arvutamiseks tuleb samuti rakendada KOFS-i vastavat metoodikat</w:t>
      </w:r>
      <w:r w:rsidR="000B3A4A">
        <w:rPr>
          <w:rFonts w:ascii="Arial" w:hAnsi="Arial" w:cs="Arial"/>
          <w:sz w:val="24"/>
          <w:szCs w:val="24"/>
        </w:rPr>
        <w:t>.</w:t>
      </w:r>
      <w:r w:rsidR="00EF0522">
        <w:rPr>
          <w:rFonts w:ascii="Arial" w:hAnsi="Arial" w:cs="Arial"/>
          <w:sz w:val="24"/>
          <w:szCs w:val="24"/>
        </w:rPr>
        <w:t xml:space="preserve"> </w:t>
      </w:r>
    </w:p>
    <w:p w14:paraId="226DDD92" w14:textId="3434B5CC" w:rsidR="001D4080" w:rsidRDefault="00C66EB1" w:rsidP="009D2000">
      <w:pPr>
        <w:spacing w:line="240" w:lineRule="auto"/>
        <w:jc w:val="both"/>
        <w:rPr>
          <w:rFonts w:ascii="Arial" w:hAnsi="Arial" w:cs="Arial"/>
          <w:sz w:val="24"/>
          <w:szCs w:val="24"/>
        </w:rPr>
      </w:pPr>
      <w:r>
        <w:rPr>
          <w:rFonts w:ascii="Arial" w:hAnsi="Arial" w:cs="Arial"/>
          <w:sz w:val="24"/>
          <w:szCs w:val="24"/>
        </w:rPr>
        <w:t xml:space="preserve">SA Saadjärve on </w:t>
      </w:r>
      <w:r w:rsidR="00EB4C51">
        <w:rPr>
          <w:rFonts w:ascii="Arial" w:hAnsi="Arial" w:cs="Arial"/>
          <w:sz w:val="24"/>
          <w:szCs w:val="24"/>
        </w:rPr>
        <w:t>prognoosinud</w:t>
      </w:r>
      <w:r w:rsidR="000B1763">
        <w:rPr>
          <w:rFonts w:ascii="Arial" w:hAnsi="Arial" w:cs="Arial"/>
          <w:sz w:val="24"/>
          <w:szCs w:val="24"/>
        </w:rPr>
        <w:t xml:space="preserve"> investeeri</w:t>
      </w:r>
      <w:r>
        <w:rPr>
          <w:rFonts w:ascii="Arial" w:hAnsi="Arial" w:cs="Arial"/>
          <w:sz w:val="24"/>
          <w:szCs w:val="24"/>
        </w:rPr>
        <w:t>da</w:t>
      </w:r>
      <w:r w:rsidR="001D4080">
        <w:rPr>
          <w:rFonts w:ascii="Arial" w:hAnsi="Arial" w:cs="Arial"/>
          <w:sz w:val="24"/>
          <w:szCs w:val="24"/>
        </w:rPr>
        <w:t xml:space="preserve"> </w:t>
      </w:r>
      <w:r w:rsidR="003E6255">
        <w:rPr>
          <w:rFonts w:ascii="Arial" w:hAnsi="Arial" w:cs="Arial"/>
          <w:sz w:val="24"/>
          <w:szCs w:val="24"/>
        </w:rPr>
        <w:t xml:space="preserve">aastatel </w:t>
      </w:r>
      <w:r w:rsidR="001D4080">
        <w:rPr>
          <w:rFonts w:ascii="Arial" w:hAnsi="Arial" w:cs="Arial"/>
          <w:sz w:val="24"/>
          <w:szCs w:val="24"/>
        </w:rPr>
        <w:t>2024</w:t>
      </w:r>
      <w:r w:rsidR="003E6255">
        <w:rPr>
          <w:rFonts w:ascii="Arial" w:hAnsi="Arial" w:cs="Arial"/>
          <w:sz w:val="24"/>
          <w:szCs w:val="24"/>
        </w:rPr>
        <w:t>-2025</w:t>
      </w:r>
      <w:r w:rsidR="001D4080">
        <w:rPr>
          <w:rFonts w:ascii="Arial" w:hAnsi="Arial" w:cs="Arial"/>
          <w:sz w:val="24"/>
          <w:szCs w:val="24"/>
        </w:rPr>
        <w:t xml:space="preserve"> </w:t>
      </w:r>
      <w:r w:rsidR="00294DD0">
        <w:rPr>
          <w:rFonts w:ascii="Arial" w:hAnsi="Arial" w:cs="Arial"/>
          <w:sz w:val="24"/>
          <w:szCs w:val="24"/>
        </w:rPr>
        <w:t>3. korruse uu</w:t>
      </w:r>
      <w:r>
        <w:rPr>
          <w:rFonts w:ascii="Arial" w:hAnsi="Arial" w:cs="Arial"/>
          <w:sz w:val="24"/>
          <w:szCs w:val="24"/>
        </w:rPr>
        <w:t>e</w:t>
      </w:r>
      <w:r w:rsidR="00294DD0">
        <w:rPr>
          <w:rFonts w:ascii="Arial" w:hAnsi="Arial" w:cs="Arial"/>
          <w:sz w:val="24"/>
          <w:szCs w:val="24"/>
        </w:rPr>
        <w:t xml:space="preserve"> näitus</w:t>
      </w:r>
      <w:r>
        <w:rPr>
          <w:rFonts w:ascii="Arial" w:hAnsi="Arial" w:cs="Arial"/>
          <w:sz w:val="24"/>
          <w:szCs w:val="24"/>
        </w:rPr>
        <w:t>e</w:t>
      </w:r>
      <w:r w:rsidR="00294DD0">
        <w:rPr>
          <w:rFonts w:ascii="Arial" w:hAnsi="Arial" w:cs="Arial"/>
          <w:sz w:val="24"/>
          <w:szCs w:val="24"/>
        </w:rPr>
        <w:t xml:space="preserve"> </w:t>
      </w:r>
      <w:r w:rsidR="001D4080">
        <w:rPr>
          <w:rFonts w:ascii="Arial" w:hAnsi="Arial" w:cs="Arial"/>
          <w:sz w:val="24"/>
          <w:szCs w:val="24"/>
        </w:rPr>
        <w:t>uuendamisse</w:t>
      </w:r>
      <w:r w:rsidR="00F3529D">
        <w:rPr>
          <w:rFonts w:ascii="Arial" w:hAnsi="Arial" w:cs="Arial"/>
          <w:sz w:val="24"/>
          <w:szCs w:val="24"/>
        </w:rPr>
        <w:t xml:space="preserve"> 2</w:t>
      </w:r>
      <w:r w:rsidR="00A56CC0">
        <w:rPr>
          <w:rFonts w:ascii="Arial" w:hAnsi="Arial" w:cs="Arial"/>
          <w:sz w:val="24"/>
          <w:szCs w:val="24"/>
        </w:rPr>
        <w:t>1</w:t>
      </w:r>
      <w:r w:rsidR="00F3529D">
        <w:rPr>
          <w:rFonts w:ascii="Arial" w:hAnsi="Arial" w:cs="Arial"/>
          <w:sz w:val="24"/>
          <w:szCs w:val="24"/>
        </w:rPr>
        <w:t>0 000 eurot, millest omaosalus on</w:t>
      </w:r>
      <w:r w:rsidR="00294DD0">
        <w:rPr>
          <w:rFonts w:ascii="Arial" w:hAnsi="Arial" w:cs="Arial"/>
          <w:sz w:val="24"/>
          <w:szCs w:val="24"/>
        </w:rPr>
        <w:t xml:space="preserve"> </w:t>
      </w:r>
      <w:r w:rsidR="003E6255">
        <w:rPr>
          <w:rFonts w:ascii="Arial" w:hAnsi="Arial" w:cs="Arial"/>
          <w:sz w:val="24"/>
          <w:szCs w:val="24"/>
        </w:rPr>
        <w:t>6</w:t>
      </w:r>
      <w:r w:rsidR="00294DD0">
        <w:rPr>
          <w:rFonts w:ascii="Arial" w:hAnsi="Arial" w:cs="Arial"/>
          <w:sz w:val="24"/>
          <w:szCs w:val="24"/>
        </w:rPr>
        <w:t>0 000 eurot</w:t>
      </w:r>
      <w:r w:rsidR="009908A3">
        <w:rPr>
          <w:rFonts w:ascii="Arial" w:hAnsi="Arial" w:cs="Arial"/>
          <w:sz w:val="24"/>
          <w:szCs w:val="24"/>
        </w:rPr>
        <w:t xml:space="preserve">. Tegemist on projektitaotlusega, seega ei ole </w:t>
      </w:r>
      <w:r w:rsidR="005532C9">
        <w:rPr>
          <w:rFonts w:ascii="Arial" w:hAnsi="Arial" w:cs="Arial"/>
          <w:sz w:val="24"/>
          <w:szCs w:val="24"/>
        </w:rPr>
        <w:t>prognoositud uusi</w:t>
      </w:r>
      <w:r w:rsidR="009908A3">
        <w:rPr>
          <w:rFonts w:ascii="Arial" w:hAnsi="Arial" w:cs="Arial"/>
          <w:sz w:val="24"/>
          <w:szCs w:val="24"/>
        </w:rPr>
        <w:t xml:space="preserve"> kohustisi </w:t>
      </w:r>
      <w:r w:rsidR="009048A6">
        <w:rPr>
          <w:rFonts w:ascii="Arial" w:hAnsi="Arial" w:cs="Arial"/>
          <w:sz w:val="24"/>
          <w:szCs w:val="24"/>
        </w:rPr>
        <w:t>võtta.</w:t>
      </w:r>
      <w:r w:rsidR="00294DD0">
        <w:rPr>
          <w:rFonts w:ascii="Arial" w:hAnsi="Arial" w:cs="Arial"/>
          <w:sz w:val="24"/>
          <w:szCs w:val="24"/>
        </w:rPr>
        <w:t xml:space="preserve"> </w:t>
      </w:r>
    </w:p>
    <w:p w14:paraId="6C062A2A" w14:textId="318CC8E2" w:rsidR="00624C41" w:rsidRDefault="00033567" w:rsidP="009D2000">
      <w:pPr>
        <w:spacing w:line="240" w:lineRule="auto"/>
        <w:jc w:val="both"/>
        <w:rPr>
          <w:rFonts w:ascii="Arial" w:hAnsi="Arial" w:cs="Arial"/>
          <w:sz w:val="24"/>
          <w:szCs w:val="24"/>
        </w:rPr>
      </w:pPr>
      <w:r>
        <w:rPr>
          <w:rFonts w:ascii="Arial" w:hAnsi="Arial" w:cs="Arial"/>
          <w:sz w:val="24"/>
          <w:szCs w:val="24"/>
        </w:rPr>
        <w:t>OÜ Tartu Vall</w:t>
      </w:r>
      <w:r w:rsidR="00CF4404">
        <w:rPr>
          <w:rFonts w:ascii="Arial" w:hAnsi="Arial" w:cs="Arial"/>
          <w:sz w:val="24"/>
          <w:szCs w:val="24"/>
        </w:rPr>
        <w:t>a Haldus</w:t>
      </w:r>
      <w:r w:rsidR="00EB4C51">
        <w:rPr>
          <w:rFonts w:ascii="Arial" w:hAnsi="Arial" w:cs="Arial"/>
          <w:sz w:val="24"/>
          <w:szCs w:val="24"/>
        </w:rPr>
        <w:t xml:space="preserve"> </w:t>
      </w:r>
      <w:r>
        <w:rPr>
          <w:rFonts w:ascii="Arial" w:hAnsi="Arial" w:cs="Arial"/>
          <w:sz w:val="24"/>
          <w:szCs w:val="24"/>
        </w:rPr>
        <w:t>p</w:t>
      </w:r>
      <w:r w:rsidR="00EB4C51">
        <w:rPr>
          <w:rFonts w:ascii="Arial" w:hAnsi="Arial" w:cs="Arial"/>
          <w:sz w:val="24"/>
          <w:szCs w:val="24"/>
        </w:rPr>
        <w:t>rognoosib</w:t>
      </w:r>
      <w:r>
        <w:rPr>
          <w:rFonts w:ascii="Arial" w:hAnsi="Arial" w:cs="Arial"/>
          <w:sz w:val="24"/>
          <w:szCs w:val="24"/>
        </w:rPr>
        <w:t xml:space="preserve"> investeeringu</w:t>
      </w:r>
      <w:r w:rsidR="00EB4C51">
        <w:rPr>
          <w:rFonts w:ascii="Arial" w:hAnsi="Arial" w:cs="Arial"/>
          <w:sz w:val="24"/>
          <w:szCs w:val="24"/>
        </w:rPr>
        <w:t>i</w:t>
      </w:r>
      <w:r>
        <w:rPr>
          <w:rFonts w:ascii="Arial" w:hAnsi="Arial" w:cs="Arial"/>
          <w:sz w:val="24"/>
          <w:szCs w:val="24"/>
        </w:rPr>
        <w:t>d</w:t>
      </w:r>
      <w:r w:rsidR="00E149D0">
        <w:rPr>
          <w:rFonts w:ascii="Arial" w:hAnsi="Arial" w:cs="Arial"/>
          <w:sz w:val="24"/>
          <w:szCs w:val="24"/>
        </w:rPr>
        <w:t>:</w:t>
      </w:r>
      <w:r>
        <w:rPr>
          <w:rFonts w:ascii="Arial" w:hAnsi="Arial" w:cs="Arial"/>
          <w:sz w:val="24"/>
          <w:szCs w:val="24"/>
        </w:rPr>
        <w:t xml:space="preserve"> </w:t>
      </w:r>
    </w:p>
    <w:p w14:paraId="19561174" w14:textId="785004C3" w:rsidR="00457B46" w:rsidRDefault="00033567" w:rsidP="00624C41">
      <w:pPr>
        <w:pStyle w:val="Loendilik"/>
        <w:numPr>
          <w:ilvl w:val="0"/>
          <w:numId w:val="17"/>
        </w:numPr>
        <w:spacing w:line="240" w:lineRule="auto"/>
        <w:jc w:val="both"/>
        <w:rPr>
          <w:rFonts w:ascii="Arial" w:hAnsi="Arial" w:cs="Arial"/>
          <w:sz w:val="24"/>
          <w:szCs w:val="24"/>
        </w:rPr>
      </w:pPr>
      <w:r w:rsidRPr="00624C41">
        <w:rPr>
          <w:rFonts w:ascii="Arial" w:hAnsi="Arial" w:cs="Arial"/>
          <w:sz w:val="24"/>
          <w:szCs w:val="24"/>
        </w:rPr>
        <w:t>202</w:t>
      </w:r>
      <w:r w:rsidR="00555C76">
        <w:rPr>
          <w:rFonts w:ascii="Arial" w:hAnsi="Arial" w:cs="Arial"/>
          <w:sz w:val="24"/>
          <w:szCs w:val="24"/>
        </w:rPr>
        <w:t>4</w:t>
      </w:r>
      <w:r w:rsidR="0020780F" w:rsidRPr="00624C41">
        <w:rPr>
          <w:rFonts w:ascii="Arial" w:hAnsi="Arial" w:cs="Arial"/>
          <w:sz w:val="24"/>
          <w:szCs w:val="24"/>
        </w:rPr>
        <w:t>.</w:t>
      </w:r>
      <w:r w:rsidR="00E83085" w:rsidRPr="00624C41">
        <w:rPr>
          <w:rFonts w:ascii="Arial" w:hAnsi="Arial" w:cs="Arial"/>
          <w:sz w:val="24"/>
          <w:szCs w:val="24"/>
        </w:rPr>
        <w:t xml:space="preserve"> </w:t>
      </w:r>
      <w:r w:rsidRPr="00624C41">
        <w:rPr>
          <w:rFonts w:ascii="Arial" w:hAnsi="Arial" w:cs="Arial"/>
          <w:sz w:val="24"/>
          <w:szCs w:val="24"/>
        </w:rPr>
        <w:t>aasta</w:t>
      </w:r>
      <w:r w:rsidR="003F6C2F" w:rsidRPr="00624C41">
        <w:rPr>
          <w:rFonts w:ascii="Arial" w:hAnsi="Arial" w:cs="Arial"/>
          <w:sz w:val="24"/>
          <w:szCs w:val="24"/>
        </w:rPr>
        <w:t xml:space="preserve"> </w:t>
      </w:r>
      <w:r w:rsidR="00555C76">
        <w:rPr>
          <w:rFonts w:ascii="Arial" w:hAnsi="Arial" w:cs="Arial"/>
          <w:sz w:val="24"/>
          <w:szCs w:val="24"/>
        </w:rPr>
        <w:t>alguses</w:t>
      </w:r>
      <w:r w:rsidR="003F6C2F" w:rsidRPr="00624C41">
        <w:rPr>
          <w:rFonts w:ascii="Arial" w:hAnsi="Arial" w:cs="Arial"/>
          <w:sz w:val="24"/>
          <w:szCs w:val="24"/>
        </w:rPr>
        <w:t xml:space="preserve"> uu</w:t>
      </w:r>
      <w:r w:rsidR="00624C41">
        <w:rPr>
          <w:rFonts w:ascii="Arial" w:hAnsi="Arial" w:cs="Arial"/>
          <w:sz w:val="24"/>
          <w:szCs w:val="24"/>
        </w:rPr>
        <w:t>e</w:t>
      </w:r>
      <w:r w:rsidR="003F6C2F" w:rsidRPr="00624C41">
        <w:rPr>
          <w:rFonts w:ascii="Arial" w:hAnsi="Arial" w:cs="Arial"/>
          <w:sz w:val="24"/>
          <w:szCs w:val="24"/>
        </w:rPr>
        <w:t xml:space="preserve"> buss</w:t>
      </w:r>
      <w:r w:rsidR="00624C41">
        <w:rPr>
          <w:rFonts w:ascii="Arial" w:hAnsi="Arial" w:cs="Arial"/>
          <w:sz w:val="24"/>
          <w:szCs w:val="24"/>
        </w:rPr>
        <w:t xml:space="preserve">i ost </w:t>
      </w:r>
      <w:r w:rsidR="006F4813">
        <w:rPr>
          <w:rFonts w:ascii="Arial" w:hAnsi="Arial" w:cs="Arial"/>
          <w:sz w:val="24"/>
          <w:szCs w:val="24"/>
        </w:rPr>
        <w:t>–</w:t>
      </w:r>
      <w:r w:rsidR="00457B46">
        <w:rPr>
          <w:rFonts w:ascii="Arial" w:hAnsi="Arial" w:cs="Arial"/>
          <w:sz w:val="24"/>
          <w:szCs w:val="24"/>
        </w:rPr>
        <w:t xml:space="preserve"> </w:t>
      </w:r>
      <w:r w:rsidR="00D94A5B" w:rsidRPr="00624C41">
        <w:rPr>
          <w:rFonts w:ascii="Arial" w:hAnsi="Arial" w:cs="Arial"/>
          <w:sz w:val="24"/>
          <w:szCs w:val="24"/>
        </w:rPr>
        <w:t>1</w:t>
      </w:r>
      <w:r w:rsidR="006F4813">
        <w:rPr>
          <w:rFonts w:ascii="Arial" w:hAnsi="Arial" w:cs="Arial"/>
          <w:sz w:val="24"/>
          <w:szCs w:val="24"/>
        </w:rPr>
        <w:t>29 500</w:t>
      </w:r>
      <w:r w:rsidR="00D94A5B" w:rsidRPr="00624C41">
        <w:rPr>
          <w:rFonts w:ascii="Arial" w:hAnsi="Arial" w:cs="Arial"/>
          <w:sz w:val="24"/>
          <w:szCs w:val="24"/>
        </w:rPr>
        <w:t xml:space="preserve"> eurot</w:t>
      </w:r>
      <w:r w:rsidR="00A15712" w:rsidRPr="00624C41">
        <w:rPr>
          <w:rFonts w:ascii="Arial" w:hAnsi="Arial" w:cs="Arial"/>
          <w:sz w:val="24"/>
          <w:szCs w:val="24"/>
        </w:rPr>
        <w:t xml:space="preserve">, </w:t>
      </w:r>
      <w:r w:rsidR="004F2113" w:rsidRPr="00624C41">
        <w:rPr>
          <w:rFonts w:ascii="Arial" w:hAnsi="Arial" w:cs="Arial"/>
          <w:sz w:val="24"/>
          <w:szCs w:val="24"/>
        </w:rPr>
        <w:t xml:space="preserve">mida </w:t>
      </w:r>
      <w:r w:rsidR="00A15712" w:rsidRPr="00624C41">
        <w:rPr>
          <w:rFonts w:ascii="Arial" w:hAnsi="Arial" w:cs="Arial"/>
          <w:sz w:val="24"/>
          <w:szCs w:val="24"/>
        </w:rPr>
        <w:t>finantseeri</w:t>
      </w:r>
      <w:r w:rsidR="004F2113" w:rsidRPr="00624C41">
        <w:rPr>
          <w:rFonts w:ascii="Arial" w:hAnsi="Arial" w:cs="Arial"/>
          <w:sz w:val="24"/>
          <w:szCs w:val="24"/>
        </w:rPr>
        <w:t>takse</w:t>
      </w:r>
      <w:r w:rsidR="00E149D0" w:rsidRPr="00624C41">
        <w:rPr>
          <w:rFonts w:ascii="Arial" w:hAnsi="Arial" w:cs="Arial"/>
          <w:sz w:val="24"/>
          <w:szCs w:val="24"/>
        </w:rPr>
        <w:t xml:space="preserve"> </w:t>
      </w:r>
      <w:r w:rsidR="00A15712" w:rsidRPr="00624C41">
        <w:rPr>
          <w:rFonts w:ascii="Arial" w:hAnsi="Arial" w:cs="Arial"/>
          <w:sz w:val="24"/>
          <w:szCs w:val="24"/>
        </w:rPr>
        <w:t>kapitaliliising</w:t>
      </w:r>
      <w:r w:rsidR="00E149D0" w:rsidRPr="00624C41">
        <w:rPr>
          <w:rFonts w:ascii="Arial" w:hAnsi="Arial" w:cs="Arial"/>
          <w:sz w:val="24"/>
          <w:szCs w:val="24"/>
        </w:rPr>
        <w:t>uga</w:t>
      </w:r>
      <w:r w:rsidR="006F4813">
        <w:rPr>
          <w:rFonts w:ascii="Arial" w:hAnsi="Arial" w:cs="Arial"/>
          <w:sz w:val="24"/>
          <w:szCs w:val="24"/>
        </w:rPr>
        <w:t>;</w:t>
      </w:r>
    </w:p>
    <w:p w14:paraId="7DEEEF27" w14:textId="544CC128" w:rsidR="00FB4D0C" w:rsidRDefault="006F4813" w:rsidP="00624C41">
      <w:pPr>
        <w:pStyle w:val="Loendilik"/>
        <w:numPr>
          <w:ilvl w:val="0"/>
          <w:numId w:val="17"/>
        </w:numPr>
        <w:spacing w:line="240" w:lineRule="auto"/>
        <w:jc w:val="both"/>
        <w:rPr>
          <w:rFonts w:ascii="Arial" w:hAnsi="Arial" w:cs="Arial"/>
          <w:sz w:val="24"/>
          <w:szCs w:val="24"/>
        </w:rPr>
      </w:pPr>
      <w:r w:rsidRPr="00624C41">
        <w:rPr>
          <w:rFonts w:ascii="Arial" w:hAnsi="Arial" w:cs="Arial"/>
          <w:sz w:val="24"/>
          <w:szCs w:val="24"/>
        </w:rPr>
        <w:t>A</w:t>
      </w:r>
      <w:r w:rsidR="00D94A5B" w:rsidRPr="00624C41">
        <w:rPr>
          <w:rFonts w:ascii="Arial" w:hAnsi="Arial" w:cs="Arial"/>
          <w:sz w:val="24"/>
          <w:szCs w:val="24"/>
        </w:rPr>
        <w:t>asta</w:t>
      </w:r>
      <w:r>
        <w:rPr>
          <w:rFonts w:ascii="Arial" w:hAnsi="Arial" w:cs="Arial"/>
          <w:sz w:val="24"/>
          <w:szCs w:val="24"/>
        </w:rPr>
        <w:t>tel 2024-2025</w:t>
      </w:r>
      <w:r w:rsidR="00D94A5B" w:rsidRPr="00624C41">
        <w:rPr>
          <w:rFonts w:ascii="Arial" w:hAnsi="Arial" w:cs="Arial"/>
          <w:sz w:val="24"/>
          <w:szCs w:val="24"/>
        </w:rPr>
        <w:t xml:space="preserve"> </w:t>
      </w:r>
      <w:r w:rsidR="003A66E6" w:rsidRPr="00624C41">
        <w:rPr>
          <w:rFonts w:ascii="Arial" w:hAnsi="Arial" w:cs="Arial"/>
          <w:sz w:val="24"/>
          <w:szCs w:val="24"/>
        </w:rPr>
        <w:t>on pla</w:t>
      </w:r>
      <w:r w:rsidR="00543044" w:rsidRPr="00624C41">
        <w:rPr>
          <w:rFonts w:ascii="Arial" w:hAnsi="Arial" w:cs="Arial"/>
          <w:sz w:val="24"/>
          <w:szCs w:val="24"/>
        </w:rPr>
        <w:t xml:space="preserve">neeritud investeerida </w:t>
      </w:r>
      <w:r w:rsidR="00920EBD" w:rsidRPr="00624C41">
        <w:rPr>
          <w:rFonts w:ascii="Arial" w:hAnsi="Arial" w:cs="Arial"/>
          <w:sz w:val="24"/>
          <w:szCs w:val="24"/>
        </w:rPr>
        <w:t xml:space="preserve">Lähte </w:t>
      </w:r>
      <w:r w:rsidR="00D94A5B" w:rsidRPr="00624C41">
        <w:rPr>
          <w:rFonts w:ascii="Arial" w:hAnsi="Arial" w:cs="Arial"/>
          <w:sz w:val="24"/>
          <w:szCs w:val="24"/>
        </w:rPr>
        <w:t>katlamaja</w:t>
      </w:r>
      <w:r w:rsidR="00891EAE" w:rsidRPr="00624C41">
        <w:rPr>
          <w:rFonts w:ascii="Arial" w:hAnsi="Arial" w:cs="Arial"/>
          <w:sz w:val="24"/>
          <w:szCs w:val="24"/>
        </w:rPr>
        <w:t xml:space="preserve">-kontorihoone </w:t>
      </w:r>
      <w:r w:rsidR="003A66E6" w:rsidRPr="00624C41">
        <w:rPr>
          <w:rFonts w:ascii="Arial" w:hAnsi="Arial" w:cs="Arial"/>
          <w:sz w:val="24"/>
          <w:szCs w:val="24"/>
        </w:rPr>
        <w:t>kogu planeeringuala välja</w:t>
      </w:r>
      <w:r w:rsidR="00F246A4" w:rsidRPr="00624C41">
        <w:rPr>
          <w:rFonts w:ascii="Arial" w:hAnsi="Arial" w:cs="Arial"/>
          <w:sz w:val="24"/>
          <w:szCs w:val="24"/>
        </w:rPr>
        <w:t xml:space="preserve"> </w:t>
      </w:r>
      <w:r w:rsidR="003A66E6" w:rsidRPr="00624C41">
        <w:rPr>
          <w:rFonts w:ascii="Arial" w:hAnsi="Arial" w:cs="Arial"/>
          <w:sz w:val="24"/>
          <w:szCs w:val="24"/>
        </w:rPr>
        <w:t>ehitami</w:t>
      </w:r>
      <w:r w:rsidR="00543044" w:rsidRPr="00624C41">
        <w:rPr>
          <w:rFonts w:ascii="Arial" w:hAnsi="Arial" w:cs="Arial"/>
          <w:sz w:val="24"/>
          <w:szCs w:val="24"/>
        </w:rPr>
        <w:t>sse</w:t>
      </w:r>
      <w:r w:rsidR="00D94A5B" w:rsidRPr="00624C41">
        <w:rPr>
          <w:rFonts w:ascii="Arial" w:hAnsi="Arial" w:cs="Arial"/>
          <w:sz w:val="24"/>
          <w:szCs w:val="24"/>
        </w:rPr>
        <w:t xml:space="preserve"> </w:t>
      </w:r>
      <w:r w:rsidR="00543044" w:rsidRPr="00624C41">
        <w:rPr>
          <w:rFonts w:ascii="Arial" w:hAnsi="Arial" w:cs="Arial"/>
          <w:sz w:val="24"/>
          <w:szCs w:val="24"/>
        </w:rPr>
        <w:t>3</w:t>
      </w:r>
      <w:r w:rsidR="00D94A5B" w:rsidRPr="00624C41">
        <w:rPr>
          <w:rFonts w:ascii="Arial" w:hAnsi="Arial" w:cs="Arial"/>
          <w:sz w:val="24"/>
          <w:szCs w:val="24"/>
        </w:rPr>
        <w:t>,</w:t>
      </w:r>
      <w:r w:rsidR="004E581C">
        <w:rPr>
          <w:rFonts w:ascii="Arial" w:hAnsi="Arial" w:cs="Arial"/>
          <w:sz w:val="24"/>
          <w:szCs w:val="24"/>
        </w:rPr>
        <w:t>2</w:t>
      </w:r>
      <w:r w:rsidR="00EB4C51" w:rsidRPr="00624C41">
        <w:rPr>
          <w:rFonts w:ascii="Arial" w:hAnsi="Arial" w:cs="Arial"/>
          <w:sz w:val="24"/>
          <w:szCs w:val="24"/>
        </w:rPr>
        <w:t xml:space="preserve"> </w:t>
      </w:r>
      <w:r w:rsidR="00D94A5B" w:rsidRPr="00624C41">
        <w:rPr>
          <w:rFonts w:ascii="Arial" w:hAnsi="Arial" w:cs="Arial"/>
          <w:sz w:val="24"/>
          <w:szCs w:val="24"/>
        </w:rPr>
        <w:t>miljonit eurot</w:t>
      </w:r>
      <w:r w:rsidR="00457B46">
        <w:rPr>
          <w:rFonts w:ascii="Arial" w:hAnsi="Arial" w:cs="Arial"/>
          <w:sz w:val="24"/>
          <w:szCs w:val="24"/>
        </w:rPr>
        <w:t xml:space="preserve">, mida finantseeritakse </w:t>
      </w:r>
      <w:r w:rsidR="00D94A5B" w:rsidRPr="00624C41">
        <w:rPr>
          <w:rFonts w:ascii="Arial" w:hAnsi="Arial" w:cs="Arial"/>
          <w:sz w:val="24"/>
          <w:szCs w:val="24"/>
        </w:rPr>
        <w:t xml:space="preserve"> omaosaluse</w:t>
      </w:r>
      <w:r w:rsidR="00E81179">
        <w:rPr>
          <w:rFonts w:ascii="Arial" w:hAnsi="Arial" w:cs="Arial"/>
          <w:sz w:val="24"/>
          <w:szCs w:val="24"/>
        </w:rPr>
        <w:t>ga</w:t>
      </w:r>
      <w:r w:rsidR="009F07DE" w:rsidRPr="00624C41">
        <w:rPr>
          <w:rFonts w:ascii="Arial" w:hAnsi="Arial" w:cs="Arial"/>
          <w:sz w:val="24"/>
          <w:szCs w:val="24"/>
        </w:rPr>
        <w:t xml:space="preserve"> </w:t>
      </w:r>
      <w:r w:rsidR="000A3C21">
        <w:rPr>
          <w:rFonts w:ascii="Arial" w:hAnsi="Arial" w:cs="Arial"/>
          <w:sz w:val="24"/>
          <w:szCs w:val="24"/>
        </w:rPr>
        <w:t>0,3</w:t>
      </w:r>
      <w:r w:rsidR="004308A8">
        <w:rPr>
          <w:rFonts w:ascii="Arial" w:hAnsi="Arial" w:cs="Arial"/>
          <w:sz w:val="24"/>
          <w:szCs w:val="24"/>
        </w:rPr>
        <w:t>6</w:t>
      </w:r>
      <w:r w:rsidR="000A3C21">
        <w:rPr>
          <w:rFonts w:ascii="Arial" w:hAnsi="Arial" w:cs="Arial"/>
          <w:sz w:val="24"/>
          <w:szCs w:val="24"/>
        </w:rPr>
        <w:t xml:space="preserve"> miljonit eurot</w:t>
      </w:r>
      <w:r w:rsidR="002332F9">
        <w:rPr>
          <w:rFonts w:ascii="Arial" w:hAnsi="Arial" w:cs="Arial"/>
          <w:sz w:val="24"/>
          <w:szCs w:val="24"/>
        </w:rPr>
        <w:t>,</w:t>
      </w:r>
      <w:r w:rsidR="009F07DE" w:rsidRPr="00624C41">
        <w:rPr>
          <w:rFonts w:ascii="Arial" w:hAnsi="Arial" w:cs="Arial"/>
          <w:sz w:val="24"/>
          <w:szCs w:val="24"/>
        </w:rPr>
        <w:t xml:space="preserve"> KIK toetusega</w:t>
      </w:r>
      <w:r w:rsidR="00D94A5B" w:rsidRPr="00624C41">
        <w:rPr>
          <w:rFonts w:ascii="Arial" w:hAnsi="Arial" w:cs="Arial"/>
          <w:sz w:val="24"/>
          <w:szCs w:val="24"/>
        </w:rPr>
        <w:t xml:space="preserve"> </w:t>
      </w:r>
      <w:r w:rsidR="0086224D" w:rsidRPr="00624C41">
        <w:rPr>
          <w:rFonts w:ascii="Arial" w:hAnsi="Arial" w:cs="Arial"/>
          <w:sz w:val="24"/>
          <w:szCs w:val="24"/>
        </w:rPr>
        <w:t>0,</w:t>
      </w:r>
      <w:r w:rsidR="00482E71">
        <w:rPr>
          <w:rFonts w:ascii="Arial" w:hAnsi="Arial" w:cs="Arial"/>
          <w:sz w:val="24"/>
          <w:szCs w:val="24"/>
        </w:rPr>
        <w:t>34</w:t>
      </w:r>
      <w:r w:rsidR="00EB4C51" w:rsidRPr="00624C41">
        <w:rPr>
          <w:rFonts w:ascii="Arial" w:hAnsi="Arial" w:cs="Arial"/>
          <w:sz w:val="24"/>
          <w:szCs w:val="24"/>
        </w:rPr>
        <w:t xml:space="preserve"> </w:t>
      </w:r>
      <w:r w:rsidR="00D94A5B" w:rsidRPr="00624C41">
        <w:rPr>
          <w:rFonts w:ascii="Arial" w:hAnsi="Arial" w:cs="Arial"/>
          <w:sz w:val="24"/>
          <w:szCs w:val="24"/>
        </w:rPr>
        <w:t>miljonit eurot</w:t>
      </w:r>
      <w:r w:rsidR="006B6343" w:rsidRPr="00624C41">
        <w:rPr>
          <w:rFonts w:ascii="Arial" w:hAnsi="Arial" w:cs="Arial"/>
          <w:sz w:val="24"/>
          <w:szCs w:val="24"/>
        </w:rPr>
        <w:t xml:space="preserve"> ja laenuga 2,5 miljonit</w:t>
      </w:r>
      <w:r w:rsidR="001B79C7" w:rsidRPr="00624C41">
        <w:rPr>
          <w:rFonts w:ascii="Arial" w:hAnsi="Arial" w:cs="Arial"/>
          <w:sz w:val="24"/>
          <w:szCs w:val="24"/>
        </w:rPr>
        <w:t xml:space="preserve"> eurot</w:t>
      </w:r>
      <w:r w:rsidR="007D0D76">
        <w:rPr>
          <w:rFonts w:ascii="Arial" w:hAnsi="Arial" w:cs="Arial"/>
          <w:sz w:val="24"/>
          <w:szCs w:val="24"/>
        </w:rPr>
        <w:t>;</w:t>
      </w:r>
    </w:p>
    <w:p w14:paraId="1D8251E6" w14:textId="6F6EB131" w:rsidR="001763BB" w:rsidRDefault="00D94A5B" w:rsidP="00624C41">
      <w:pPr>
        <w:pStyle w:val="Loendilik"/>
        <w:numPr>
          <w:ilvl w:val="0"/>
          <w:numId w:val="17"/>
        </w:numPr>
        <w:spacing w:line="240" w:lineRule="auto"/>
        <w:jc w:val="both"/>
        <w:rPr>
          <w:rFonts w:ascii="Arial" w:hAnsi="Arial" w:cs="Arial"/>
          <w:sz w:val="24"/>
          <w:szCs w:val="24"/>
        </w:rPr>
      </w:pPr>
      <w:r w:rsidRPr="00624C41">
        <w:rPr>
          <w:rFonts w:ascii="Arial" w:hAnsi="Arial" w:cs="Arial"/>
          <w:sz w:val="24"/>
          <w:szCs w:val="24"/>
        </w:rPr>
        <w:t>202</w:t>
      </w:r>
      <w:r w:rsidR="007D0D76">
        <w:rPr>
          <w:rFonts w:ascii="Arial" w:hAnsi="Arial" w:cs="Arial"/>
          <w:sz w:val="24"/>
          <w:szCs w:val="24"/>
        </w:rPr>
        <w:t>5</w:t>
      </w:r>
      <w:r w:rsidR="00E83085" w:rsidRPr="00624C41">
        <w:rPr>
          <w:rFonts w:ascii="Arial" w:hAnsi="Arial" w:cs="Arial"/>
          <w:sz w:val="24"/>
          <w:szCs w:val="24"/>
        </w:rPr>
        <w:t xml:space="preserve">. </w:t>
      </w:r>
      <w:r w:rsidRPr="00624C41">
        <w:rPr>
          <w:rFonts w:ascii="Arial" w:hAnsi="Arial" w:cs="Arial"/>
          <w:sz w:val="24"/>
          <w:szCs w:val="24"/>
        </w:rPr>
        <w:t>aastal</w:t>
      </w:r>
      <w:r w:rsidR="007D0D76">
        <w:rPr>
          <w:rFonts w:ascii="Arial" w:hAnsi="Arial" w:cs="Arial"/>
          <w:sz w:val="24"/>
          <w:szCs w:val="24"/>
        </w:rPr>
        <w:t xml:space="preserve"> </w:t>
      </w:r>
      <w:r w:rsidR="00FA6AE6" w:rsidRPr="00624C41">
        <w:rPr>
          <w:rFonts w:ascii="Arial" w:hAnsi="Arial" w:cs="Arial"/>
          <w:sz w:val="24"/>
          <w:szCs w:val="24"/>
        </w:rPr>
        <w:t>kaevanduse laadur</w:t>
      </w:r>
      <w:r w:rsidR="007D0D76">
        <w:rPr>
          <w:rFonts w:ascii="Arial" w:hAnsi="Arial" w:cs="Arial"/>
          <w:sz w:val="24"/>
          <w:szCs w:val="24"/>
        </w:rPr>
        <w:t>i ost -</w:t>
      </w:r>
      <w:r w:rsidR="00FA6AE6" w:rsidRPr="00624C41">
        <w:rPr>
          <w:rFonts w:ascii="Arial" w:hAnsi="Arial" w:cs="Arial"/>
          <w:sz w:val="24"/>
          <w:szCs w:val="24"/>
        </w:rPr>
        <w:t xml:space="preserve"> 100 000 eurot</w:t>
      </w:r>
      <w:r w:rsidR="001763BB">
        <w:rPr>
          <w:rFonts w:ascii="Arial" w:hAnsi="Arial" w:cs="Arial"/>
          <w:sz w:val="24"/>
          <w:szCs w:val="24"/>
        </w:rPr>
        <w:t>, mida finantseeritakse kapitaliliisinguga</w:t>
      </w:r>
      <w:r w:rsidR="003E46BA">
        <w:rPr>
          <w:rFonts w:ascii="Arial" w:hAnsi="Arial" w:cs="Arial"/>
          <w:sz w:val="24"/>
          <w:szCs w:val="24"/>
        </w:rPr>
        <w:t>;</w:t>
      </w:r>
    </w:p>
    <w:p w14:paraId="3C6F3D20" w14:textId="71756B25" w:rsidR="00E94E88" w:rsidRDefault="003E46BA" w:rsidP="00624C41">
      <w:pPr>
        <w:pStyle w:val="Loendilik"/>
        <w:numPr>
          <w:ilvl w:val="0"/>
          <w:numId w:val="17"/>
        </w:numPr>
        <w:spacing w:line="240" w:lineRule="auto"/>
        <w:jc w:val="both"/>
        <w:rPr>
          <w:rFonts w:ascii="Arial" w:hAnsi="Arial" w:cs="Arial"/>
          <w:sz w:val="24"/>
          <w:szCs w:val="24"/>
        </w:rPr>
      </w:pPr>
      <w:r>
        <w:rPr>
          <w:rFonts w:ascii="Arial" w:hAnsi="Arial" w:cs="Arial"/>
          <w:sz w:val="24"/>
          <w:szCs w:val="24"/>
        </w:rPr>
        <w:t>Aastatel 2026-2028 on planeeritud igal aastal 100 000 eurot põhivara uuendamisse.</w:t>
      </w:r>
    </w:p>
    <w:p w14:paraId="6595BC9F" w14:textId="2DF1A1EC" w:rsidR="002053DB" w:rsidRPr="00BC5823" w:rsidRDefault="001763BB" w:rsidP="00BC5823">
      <w:pPr>
        <w:spacing w:line="240" w:lineRule="auto"/>
        <w:jc w:val="both"/>
        <w:rPr>
          <w:rFonts w:ascii="Arial" w:hAnsi="Arial" w:cs="Arial"/>
          <w:sz w:val="24"/>
          <w:szCs w:val="24"/>
        </w:rPr>
      </w:pPr>
      <w:r w:rsidRPr="00BC5823">
        <w:rPr>
          <w:rFonts w:ascii="Arial" w:hAnsi="Arial" w:cs="Arial"/>
          <w:sz w:val="24"/>
          <w:szCs w:val="24"/>
        </w:rPr>
        <w:t xml:space="preserve">Kogu strateegiaperioodi jooksul </w:t>
      </w:r>
      <w:r w:rsidR="00BC5823" w:rsidRPr="00BC5823">
        <w:rPr>
          <w:rFonts w:ascii="Arial" w:hAnsi="Arial" w:cs="Arial"/>
          <w:sz w:val="24"/>
          <w:szCs w:val="24"/>
        </w:rPr>
        <w:t>on</w:t>
      </w:r>
      <w:r w:rsidR="00BC5823">
        <w:rPr>
          <w:rFonts w:ascii="Arial" w:hAnsi="Arial" w:cs="Arial"/>
          <w:sz w:val="24"/>
          <w:szCs w:val="24"/>
        </w:rPr>
        <w:t xml:space="preserve"> i</w:t>
      </w:r>
      <w:r w:rsidR="00FA6AE6" w:rsidRPr="00BC5823">
        <w:rPr>
          <w:rFonts w:ascii="Arial" w:hAnsi="Arial" w:cs="Arial"/>
          <w:sz w:val="24"/>
          <w:szCs w:val="24"/>
        </w:rPr>
        <w:t>nvesteeringute jaoks p</w:t>
      </w:r>
      <w:r w:rsidR="00EB4C51" w:rsidRPr="00BC5823">
        <w:rPr>
          <w:rFonts w:ascii="Arial" w:hAnsi="Arial" w:cs="Arial"/>
          <w:sz w:val="24"/>
          <w:szCs w:val="24"/>
        </w:rPr>
        <w:t>rognoosit</w:t>
      </w:r>
      <w:r w:rsidR="00FA6AE6" w:rsidRPr="00BC5823">
        <w:rPr>
          <w:rFonts w:ascii="Arial" w:hAnsi="Arial" w:cs="Arial"/>
          <w:sz w:val="24"/>
          <w:szCs w:val="24"/>
        </w:rPr>
        <w:t xml:space="preserve">ud uusi </w:t>
      </w:r>
      <w:r w:rsidR="0014132B">
        <w:rPr>
          <w:rFonts w:ascii="Arial" w:hAnsi="Arial" w:cs="Arial"/>
          <w:sz w:val="24"/>
          <w:szCs w:val="24"/>
        </w:rPr>
        <w:t>laenu</w:t>
      </w:r>
      <w:r w:rsidR="00FA6AE6" w:rsidRPr="00BC5823">
        <w:rPr>
          <w:rFonts w:ascii="Arial" w:hAnsi="Arial" w:cs="Arial"/>
          <w:sz w:val="24"/>
          <w:szCs w:val="24"/>
        </w:rPr>
        <w:t xml:space="preserve">kohustisi </w:t>
      </w:r>
      <w:r w:rsidR="005943AA" w:rsidRPr="00BC5823">
        <w:rPr>
          <w:rFonts w:ascii="Arial" w:hAnsi="Arial" w:cs="Arial"/>
          <w:sz w:val="24"/>
          <w:szCs w:val="24"/>
        </w:rPr>
        <w:t>2,</w:t>
      </w:r>
      <w:r w:rsidR="00194024">
        <w:rPr>
          <w:rFonts w:ascii="Arial" w:hAnsi="Arial" w:cs="Arial"/>
          <w:sz w:val="24"/>
          <w:szCs w:val="24"/>
        </w:rPr>
        <w:t>73</w:t>
      </w:r>
      <w:r w:rsidR="009B61F9" w:rsidRPr="00BC5823">
        <w:rPr>
          <w:rFonts w:ascii="Arial" w:hAnsi="Arial" w:cs="Arial"/>
          <w:sz w:val="24"/>
          <w:szCs w:val="24"/>
        </w:rPr>
        <w:t xml:space="preserve"> miljonit eurot. </w:t>
      </w:r>
    </w:p>
    <w:p w14:paraId="6BD08FAF" w14:textId="3F91BBAC" w:rsidR="004F006E" w:rsidRDefault="009B61F9" w:rsidP="009D2000">
      <w:pPr>
        <w:spacing w:line="240" w:lineRule="auto"/>
        <w:jc w:val="both"/>
        <w:rPr>
          <w:rFonts w:ascii="Arial" w:hAnsi="Arial" w:cs="Arial"/>
          <w:sz w:val="24"/>
          <w:szCs w:val="24"/>
        </w:rPr>
      </w:pPr>
      <w:r>
        <w:rPr>
          <w:rFonts w:ascii="Arial" w:hAnsi="Arial" w:cs="Arial"/>
          <w:sz w:val="24"/>
          <w:szCs w:val="24"/>
        </w:rPr>
        <w:t xml:space="preserve">SA Raadi ei ole prognoosinud uusi investeeringuid ega ka </w:t>
      </w:r>
      <w:r w:rsidR="00E61E0A">
        <w:rPr>
          <w:rFonts w:ascii="Arial" w:hAnsi="Arial" w:cs="Arial"/>
          <w:sz w:val="24"/>
          <w:szCs w:val="24"/>
        </w:rPr>
        <w:t>laenu</w:t>
      </w:r>
      <w:r>
        <w:rPr>
          <w:rFonts w:ascii="Arial" w:hAnsi="Arial" w:cs="Arial"/>
          <w:sz w:val="24"/>
          <w:szCs w:val="24"/>
        </w:rPr>
        <w:t>kohustisi.</w:t>
      </w:r>
      <w:r w:rsidR="00033567">
        <w:rPr>
          <w:rFonts w:ascii="Arial" w:hAnsi="Arial" w:cs="Arial"/>
          <w:sz w:val="24"/>
          <w:szCs w:val="24"/>
        </w:rPr>
        <w:t xml:space="preserve"> </w:t>
      </w:r>
      <w:r w:rsidR="00F42D8E">
        <w:rPr>
          <w:rFonts w:ascii="Arial" w:hAnsi="Arial" w:cs="Arial"/>
          <w:sz w:val="24"/>
          <w:szCs w:val="24"/>
        </w:rPr>
        <w:t>SA Raadi</w:t>
      </w:r>
      <w:r w:rsidR="00941AC0">
        <w:rPr>
          <w:rFonts w:ascii="Arial" w:hAnsi="Arial" w:cs="Arial"/>
          <w:sz w:val="24"/>
          <w:szCs w:val="24"/>
        </w:rPr>
        <w:t xml:space="preserve"> kohustiste hulka on arvestatud pikaajaline Raadi Lastehoiu ruumide ren</w:t>
      </w:r>
      <w:r w:rsidR="003C7A7A">
        <w:rPr>
          <w:rFonts w:ascii="Arial" w:hAnsi="Arial" w:cs="Arial"/>
          <w:sz w:val="24"/>
          <w:szCs w:val="24"/>
        </w:rPr>
        <w:t>t</w:t>
      </w:r>
      <w:r w:rsidR="00646BFB">
        <w:rPr>
          <w:rFonts w:ascii="Arial" w:hAnsi="Arial" w:cs="Arial"/>
          <w:sz w:val="24"/>
          <w:szCs w:val="24"/>
        </w:rPr>
        <w:t xml:space="preserve"> strateegia perioodil </w:t>
      </w:r>
      <w:r w:rsidR="009146E1">
        <w:rPr>
          <w:rFonts w:ascii="Arial" w:hAnsi="Arial" w:cs="Arial"/>
          <w:sz w:val="24"/>
          <w:szCs w:val="24"/>
        </w:rPr>
        <w:t>1,3 miljonit eurot.</w:t>
      </w:r>
    </w:p>
    <w:p w14:paraId="100110B8" w14:textId="3C5BFDE5" w:rsidR="00B95BD1" w:rsidRDefault="00B95BD1" w:rsidP="004F006E">
      <w:pPr>
        <w:rPr>
          <w:rFonts w:ascii="Arial" w:hAnsi="Arial" w:cs="Arial"/>
          <w:sz w:val="24"/>
          <w:szCs w:val="24"/>
        </w:rPr>
      </w:pPr>
      <w:r>
        <w:rPr>
          <w:rFonts w:ascii="Arial" w:hAnsi="Arial" w:cs="Arial"/>
          <w:sz w:val="24"/>
          <w:szCs w:val="24"/>
        </w:rPr>
        <w:t>Tabel</w:t>
      </w:r>
      <w:r w:rsidR="002E3CA1">
        <w:rPr>
          <w:rFonts w:ascii="Arial" w:hAnsi="Arial" w:cs="Arial"/>
          <w:sz w:val="24"/>
          <w:szCs w:val="24"/>
        </w:rPr>
        <w:t xml:space="preserve"> </w:t>
      </w:r>
      <w:r w:rsidR="009048A6">
        <w:rPr>
          <w:rFonts w:ascii="Arial" w:hAnsi="Arial" w:cs="Arial"/>
          <w:sz w:val="24"/>
          <w:szCs w:val="24"/>
        </w:rPr>
        <w:t>15</w:t>
      </w:r>
      <w:r w:rsidR="002E3CA1">
        <w:rPr>
          <w:rFonts w:ascii="Arial" w:hAnsi="Arial" w:cs="Arial"/>
          <w:sz w:val="24"/>
          <w:szCs w:val="24"/>
        </w:rPr>
        <w:t>. Sõltuvate üksuste konsolideeritud põhitegevuse tulem ja netovõlakoormus</w:t>
      </w:r>
    </w:p>
    <w:p w14:paraId="31798E63" w14:textId="58E19C46" w:rsidR="002E3CA1" w:rsidRDefault="009378F4" w:rsidP="004F006E">
      <w:r w:rsidRPr="009378F4">
        <w:drawing>
          <wp:inline distT="0" distB="0" distL="0" distR="0" wp14:anchorId="772FC1E5" wp14:editId="30C38517">
            <wp:extent cx="5988519" cy="3238500"/>
            <wp:effectExtent l="0" t="0" r="0" b="0"/>
            <wp:docPr id="2103663892"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0442" cy="3239540"/>
                    </a:xfrm>
                    <a:prstGeom prst="rect">
                      <a:avLst/>
                    </a:prstGeom>
                    <a:noFill/>
                    <a:ln>
                      <a:noFill/>
                    </a:ln>
                  </pic:spPr>
                </pic:pic>
              </a:graphicData>
            </a:graphic>
          </wp:inline>
        </w:drawing>
      </w:r>
    </w:p>
    <w:p w14:paraId="5CE633B2" w14:textId="77777777" w:rsidR="005532C9" w:rsidRDefault="005532C9" w:rsidP="004F006E">
      <w:pPr>
        <w:rPr>
          <w:rFonts w:ascii="Arial" w:hAnsi="Arial" w:cs="Arial"/>
          <w:sz w:val="24"/>
          <w:szCs w:val="24"/>
        </w:rPr>
      </w:pPr>
    </w:p>
    <w:p w14:paraId="77FD618D" w14:textId="277C0C07" w:rsidR="003639CD" w:rsidRPr="004F006E" w:rsidRDefault="003639CD" w:rsidP="004F006E">
      <w:pPr>
        <w:rPr>
          <w:rFonts w:ascii="Arial" w:hAnsi="Arial" w:cs="Arial"/>
          <w:sz w:val="24"/>
          <w:szCs w:val="24"/>
        </w:rPr>
      </w:pPr>
      <w:r>
        <w:rPr>
          <w:rFonts w:ascii="Arial" w:hAnsi="Arial" w:cs="Arial"/>
          <w:sz w:val="24"/>
          <w:szCs w:val="24"/>
        </w:rPr>
        <w:lastRenderedPageBreak/>
        <w:t xml:space="preserve">Tabel </w:t>
      </w:r>
      <w:r w:rsidR="005F0D5D">
        <w:rPr>
          <w:rFonts w:ascii="Arial" w:hAnsi="Arial" w:cs="Arial"/>
          <w:sz w:val="24"/>
          <w:szCs w:val="24"/>
        </w:rPr>
        <w:t>16</w:t>
      </w:r>
      <w:r w:rsidR="00B04275">
        <w:rPr>
          <w:rFonts w:ascii="Arial" w:hAnsi="Arial" w:cs="Arial"/>
          <w:sz w:val="24"/>
          <w:szCs w:val="24"/>
        </w:rPr>
        <w:t>.</w:t>
      </w:r>
      <w:r>
        <w:rPr>
          <w:rFonts w:ascii="Arial" w:hAnsi="Arial" w:cs="Arial"/>
          <w:sz w:val="24"/>
          <w:szCs w:val="24"/>
        </w:rPr>
        <w:t xml:space="preserve"> Konsolideeritud näitajad</w:t>
      </w:r>
    </w:p>
    <w:p w14:paraId="3EA46914" w14:textId="508C8646" w:rsidR="0094611A" w:rsidRDefault="005C172D" w:rsidP="004F15F1">
      <w:pPr>
        <w:rPr>
          <w:rFonts w:ascii="Arial" w:hAnsi="Arial" w:cs="Arial"/>
          <w:sz w:val="24"/>
          <w:szCs w:val="24"/>
        </w:rPr>
      </w:pPr>
      <w:r w:rsidRPr="005C172D">
        <w:drawing>
          <wp:inline distT="0" distB="0" distL="0" distR="0" wp14:anchorId="4AAD4D5E" wp14:editId="4BD92386">
            <wp:extent cx="5859542" cy="3200400"/>
            <wp:effectExtent l="0" t="0" r="8255" b="0"/>
            <wp:docPr id="1168678776"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1136" cy="3201271"/>
                    </a:xfrm>
                    <a:prstGeom prst="rect">
                      <a:avLst/>
                    </a:prstGeom>
                    <a:noFill/>
                    <a:ln>
                      <a:noFill/>
                    </a:ln>
                  </pic:spPr>
                </pic:pic>
              </a:graphicData>
            </a:graphic>
          </wp:inline>
        </w:drawing>
      </w:r>
    </w:p>
    <w:p w14:paraId="70E2BCFF" w14:textId="4E5FFAD0" w:rsidR="007C3780" w:rsidRPr="00C92109" w:rsidRDefault="007C3780" w:rsidP="0077061C">
      <w:pPr>
        <w:spacing w:line="240" w:lineRule="auto"/>
        <w:jc w:val="both"/>
        <w:rPr>
          <w:rFonts w:ascii="Arial" w:hAnsi="Arial" w:cs="Arial"/>
          <w:b/>
          <w:bCs/>
          <w:sz w:val="24"/>
          <w:szCs w:val="24"/>
        </w:rPr>
      </w:pPr>
      <w:r w:rsidRPr="00C92109">
        <w:rPr>
          <w:rFonts w:ascii="Arial" w:hAnsi="Arial" w:cs="Arial"/>
          <w:b/>
          <w:bCs/>
          <w:sz w:val="24"/>
          <w:szCs w:val="24"/>
        </w:rPr>
        <w:t>Kokkuvõttes peab Tartu vald strateegiaperioodil kinni omavalitsustele riigi poolt kehtestatud finantsdistsipliini tagamise meetmetest - kohaliku omavalitsuse üksuse ja kohaliku omavalitsuse üksuse arvestusüksuse põhitegevuse tulemi lubatavast väärtusest ja netovõlakoormuse ülemmäärast.</w:t>
      </w:r>
    </w:p>
    <w:p w14:paraId="0C5CFE79" w14:textId="0746FEC9" w:rsidR="00107BFB" w:rsidRDefault="006D3FF3" w:rsidP="0077061C">
      <w:pPr>
        <w:spacing w:line="240" w:lineRule="auto"/>
        <w:jc w:val="both"/>
        <w:rPr>
          <w:rFonts w:ascii="Arial" w:hAnsi="Arial" w:cs="Arial"/>
          <w:sz w:val="24"/>
          <w:szCs w:val="24"/>
        </w:rPr>
      </w:pPr>
      <w:r>
        <w:rPr>
          <w:rFonts w:ascii="Arial" w:hAnsi="Arial" w:cs="Arial"/>
          <w:sz w:val="24"/>
          <w:szCs w:val="24"/>
        </w:rPr>
        <w:t>Konsoli</w:t>
      </w:r>
      <w:r w:rsidR="00CD6452">
        <w:rPr>
          <w:rFonts w:ascii="Arial" w:hAnsi="Arial" w:cs="Arial"/>
          <w:sz w:val="24"/>
          <w:szCs w:val="24"/>
        </w:rPr>
        <w:t xml:space="preserve">deeritud </w:t>
      </w:r>
      <w:r w:rsidR="00C92109">
        <w:rPr>
          <w:rFonts w:ascii="Arial" w:hAnsi="Arial" w:cs="Arial"/>
          <w:sz w:val="24"/>
          <w:szCs w:val="24"/>
        </w:rPr>
        <w:t>Tartu</w:t>
      </w:r>
      <w:r w:rsidR="007C3780" w:rsidRPr="007C3780">
        <w:rPr>
          <w:rFonts w:ascii="Arial" w:hAnsi="Arial" w:cs="Arial"/>
          <w:sz w:val="24"/>
          <w:szCs w:val="24"/>
        </w:rPr>
        <w:t xml:space="preserve"> valla finantsolukord võimaldab strateegiaperioodil ellu viia olulisi investeeringuid vähemalt </w:t>
      </w:r>
      <w:r w:rsidR="00E57EE5">
        <w:rPr>
          <w:rFonts w:ascii="Arial" w:hAnsi="Arial" w:cs="Arial"/>
          <w:sz w:val="24"/>
          <w:szCs w:val="24"/>
        </w:rPr>
        <w:t>47</w:t>
      </w:r>
      <w:r w:rsidR="007C3780" w:rsidRPr="007C3780">
        <w:rPr>
          <w:rFonts w:ascii="Arial" w:hAnsi="Arial" w:cs="Arial"/>
          <w:sz w:val="24"/>
          <w:szCs w:val="24"/>
        </w:rPr>
        <w:t xml:space="preserve"> miljoni euro ulatuses. Suuremas mahus investeerimine eeldab kulude vähendamist teenuste osutamise efektiivsuse kasvu toel, mille tulemusel vabanevaid vahendeid saab kasutada nii põhitegevuse tulemi kui ka täiendavate laenukohustuste arvelt investeerimiseks. </w:t>
      </w:r>
    </w:p>
    <w:p w14:paraId="7B8E42FE" w14:textId="0AE14109" w:rsidR="002C5F9B" w:rsidRDefault="007C3780" w:rsidP="0077061C">
      <w:pPr>
        <w:spacing w:line="240" w:lineRule="auto"/>
        <w:jc w:val="both"/>
        <w:rPr>
          <w:rFonts w:ascii="Arial" w:hAnsi="Arial" w:cs="Arial"/>
          <w:sz w:val="24"/>
          <w:szCs w:val="24"/>
        </w:rPr>
      </w:pPr>
      <w:r w:rsidRPr="007C3780">
        <w:rPr>
          <w:rFonts w:ascii="Arial" w:hAnsi="Arial" w:cs="Arial"/>
          <w:sz w:val="24"/>
          <w:szCs w:val="24"/>
        </w:rPr>
        <w:t xml:space="preserve">Teisalt on </w:t>
      </w:r>
      <w:r w:rsidR="00107BFB">
        <w:rPr>
          <w:rFonts w:ascii="Arial" w:hAnsi="Arial" w:cs="Arial"/>
          <w:sz w:val="24"/>
          <w:szCs w:val="24"/>
        </w:rPr>
        <w:t>Tartu</w:t>
      </w:r>
      <w:r w:rsidRPr="007C3780">
        <w:rPr>
          <w:rFonts w:ascii="Arial" w:hAnsi="Arial" w:cs="Arial"/>
          <w:sz w:val="24"/>
          <w:szCs w:val="24"/>
        </w:rPr>
        <w:t xml:space="preserve"> valla eelarve tundlik väliskeskkonnast tulenevatele muutustele – eelarvetulude võimalikule vähenemisele on tarvilik reageerida põhitegevuse kulude kokkuhoiu ja planeeritud investeeringutest loobumisega. Suure laenukoormuse tõttu omab mõju ka intressimäärade </w:t>
      </w:r>
      <w:r w:rsidR="00997F4A">
        <w:rPr>
          <w:rFonts w:ascii="Arial" w:hAnsi="Arial" w:cs="Arial"/>
          <w:sz w:val="24"/>
          <w:szCs w:val="24"/>
        </w:rPr>
        <w:t>kõikumine</w:t>
      </w:r>
      <w:r w:rsidRPr="007C3780">
        <w:rPr>
          <w:rFonts w:ascii="Arial" w:hAnsi="Arial" w:cs="Arial"/>
          <w:sz w:val="24"/>
          <w:szCs w:val="24"/>
        </w:rPr>
        <w:t>.</w:t>
      </w:r>
    </w:p>
    <w:p w14:paraId="6B9A12E4" w14:textId="77777777" w:rsidR="007B396B" w:rsidRDefault="007B396B" w:rsidP="007C3780">
      <w:pPr>
        <w:rPr>
          <w:rFonts w:ascii="Arial" w:hAnsi="Arial" w:cs="Arial"/>
          <w:sz w:val="24"/>
          <w:szCs w:val="24"/>
        </w:rPr>
      </w:pPr>
    </w:p>
    <w:p w14:paraId="795533BB" w14:textId="77777777" w:rsidR="005C0F12" w:rsidRDefault="005C0F12" w:rsidP="007C3780">
      <w:pPr>
        <w:rPr>
          <w:rFonts w:ascii="Arial" w:hAnsi="Arial" w:cs="Arial"/>
          <w:sz w:val="24"/>
          <w:szCs w:val="24"/>
        </w:rPr>
      </w:pPr>
    </w:p>
    <w:p w14:paraId="47D6848C" w14:textId="77777777" w:rsidR="005C0F12" w:rsidRDefault="005C0F12" w:rsidP="007C3780">
      <w:pPr>
        <w:rPr>
          <w:rFonts w:ascii="Arial" w:hAnsi="Arial" w:cs="Arial"/>
          <w:sz w:val="24"/>
          <w:szCs w:val="24"/>
        </w:rPr>
      </w:pPr>
    </w:p>
    <w:p w14:paraId="3F4CA6E1" w14:textId="77777777" w:rsidR="005C0F12" w:rsidRDefault="005C0F12" w:rsidP="007C3780">
      <w:pPr>
        <w:rPr>
          <w:rFonts w:ascii="Arial" w:hAnsi="Arial" w:cs="Arial"/>
          <w:sz w:val="24"/>
          <w:szCs w:val="24"/>
        </w:rPr>
      </w:pPr>
    </w:p>
    <w:p w14:paraId="09331839" w14:textId="77777777" w:rsidR="005C0F12" w:rsidRDefault="005C0F12" w:rsidP="007C3780">
      <w:pPr>
        <w:rPr>
          <w:rFonts w:ascii="Arial" w:hAnsi="Arial" w:cs="Arial"/>
          <w:sz w:val="24"/>
          <w:szCs w:val="24"/>
        </w:rPr>
      </w:pPr>
    </w:p>
    <w:p w14:paraId="75BAD961" w14:textId="77777777" w:rsidR="005C0F12" w:rsidRDefault="005C0F12" w:rsidP="007C3780">
      <w:pPr>
        <w:rPr>
          <w:rFonts w:ascii="Arial" w:hAnsi="Arial" w:cs="Arial"/>
          <w:sz w:val="24"/>
          <w:szCs w:val="24"/>
        </w:rPr>
      </w:pPr>
    </w:p>
    <w:p w14:paraId="4F3096E8" w14:textId="77777777" w:rsidR="005C0F12" w:rsidRDefault="005C0F12" w:rsidP="007C3780">
      <w:pPr>
        <w:rPr>
          <w:rFonts w:ascii="Arial" w:hAnsi="Arial" w:cs="Arial"/>
          <w:sz w:val="24"/>
          <w:szCs w:val="24"/>
        </w:rPr>
      </w:pPr>
    </w:p>
    <w:p w14:paraId="03763A46" w14:textId="77777777" w:rsidR="005C0F12" w:rsidRDefault="005C0F12" w:rsidP="007C3780">
      <w:pPr>
        <w:rPr>
          <w:rFonts w:ascii="Arial" w:hAnsi="Arial" w:cs="Arial"/>
          <w:sz w:val="24"/>
          <w:szCs w:val="24"/>
        </w:rPr>
      </w:pPr>
    </w:p>
    <w:p w14:paraId="292DFDCB" w14:textId="77777777" w:rsidR="005C0F12" w:rsidRDefault="005C0F12" w:rsidP="007C3780">
      <w:pPr>
        <w:rPr>
          <w:rFonts w:ascii="Arial" w:hAnsi="Arial" w:cs="Arial"/>
          <w:sz w:val="24"/>
          <w:szCs w:val="24"/>
        </w:rPr>
      </w:pPr>
    </w:p>
    <w:p w14:paraId="0648DD97" w14:textId="3DB0ED0C" w:rsidR="00552A07" w:rsidRDefault="005A4DE3" w:rsidP="007C3780">
      <w:pPr>
        <w:rPr>
          <w:rFonts w:ascii="Arial" w:hAnsi="Arial" w:cs="Arial"/>
          <w:sz w:val="24"/>
          <w:szCs w:val="24"/>
        </w:rPr>
      </w:pPr>
      <w:r>
        <w:rPr>
          <w:rFonts w:ascii="Arial" w:hAnsi="Arial" w:cs="Arial"/>
          <w:sz w:val="24"/>
          <w:szCs w:val="24"/>
        </w:rPr>
        <w:lastRenderedPageBreak/>
        <w:t xml:space="preserve">Tabel </w:t>
      </w:r>
      <w:r w:rsidR="008965D5">
        <w:rPr>
          <w:rFonts w:ascii="Arial" w:hAnsi="Arial" w:cs="Arial"/>
          <w:sz w:val="24"/>
          <w:szCs w:val="24"/>
        </w:rPr>
        <w:t>17</w:t>
      </w:r>
      <w:r>
        <w:rPr>
          <w:rFonts w:ascii="Arial" w:hAnsi="Arial" w:cs="Arial"/>
          <w:sz w:val="24"/>
          <w:szCs w:val="24"/>
        </w:rPr>
        <w:t>. Investeerimisobjektide nimekiri</w:t>
      </w:r>
      <w:r w:rsidR="0016584C" w:rsidRPr="0016584C">
        <w:rPr>
          <w:rFonts w:ascii="Arial" w:hAnsi="Arial" w:cs="Arial"/>
          <w:sz w:val="24"/>
          <w:szCs w:val="24"/>
        </w:rPr>
        <w:t xml:space="preserve"> </w:t>
      </w:r>
      <w:r w:rsidR="0016584C" w:rsidRPr="0016584C">
        <w:drawing>
          <wp:inline distT="0" distB="0" distL="0" distR="0" wp14:anchorId="5F5F161C" wp14:editId="052EEA54">
            <wp:extent cx="5527040" cy="8553450"/>
            <wp:effectExtent l="0" t="0" r="0" b="0"/>
            <wp:docPr id="2008046792" name="Pil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7040" cy="8553450"/>
                    </a:xfrm>
                    <a:prstGeom prst="rect">
                      <a:avLst/>
                    </a:prstGeom>
                    <a:noFill/>
                    <a:ln>
                      <a:noFill/>
                    </a:ln>
                  </pic:spPr>
                </pic:pic>
              </a:graphicData>
            </a:graphic>
          </wp:inline>
        </w:drawing>
      </w:r>
    </w:p>
    <w:p w14:paraId="7DDE2984" w14:textId="0DEB6985" w:rsidR="00025425" w:rsidRPr="00F36BF1" w:rsidRDefault="00025425" w:rsidP="00FE64C5">
      <w:pPr>
        <w:pStyle w:val="Pealkiri2"/>
        <w:numPr>
          <w:ilvl w:val="0"/>
          <w:numId w:val="16"/>
        </w:numPr>
        <w:rPr>
          <w:b/>
          <w:bCs/>
          <w:sz w:val="32"/>
          <w:szCs w:val="32"/>
        </w:rPr>
      </w:pPr>
      <w:bookmarkStart w:id="18" w:name="_Toc173767793"/>
      <w:r w:rsidRPr="00F36BF1">
        <w:rPr>
          <w:b/>
          <w:bCs/>
          <w:sz w:val="32"/>
          <w:szCs w:val="32"/>
        </w:rPr>
        <w:lastRenderedPageBreak/>
        <w:t>Finants</w:t>
      </w:r>
      <w:r w:rsidR="003E7F21" w:rsidRPr="00F36BF1">
        <w:rPr>
          <w:b/>
          <w:bCs/>
          <w:sz w:val="32"/>
          <w:szCs w:val="32"/>
        </w:rPr>
        <w:t>tegevuse prognoos aastateks 202</w:t>
      </w:r>
      <w:r w:rsidR="00D05E49">
        <w:rPr>
          <w:b/>
          <w:bCs/>
          <w:sz w:val="32"/>
          <w:szCs w:val="32"/>
        </w:rPr>
        <w:t>4</w:t>
      </w:r>
      <w:r w:rsidR="003E7F21" w:rsidRPr="00F36BF1">
        <w:rPr>
          <w:b/>
          <w:bCs/>
          <w:sz w:val="32"/>
          <w:szCs w:val="32"/>
        </w:rPr>
        <w:t>-202</w:t>
      </w:r>
      <w:r w:rsidR="00D05E49">
        <w:rPr>
          <w:b/>
          <w:bCs/>
          <w:sz w:val="32"/>
          <w:szCs w:val="32"/>
        </w:rPr>
        <w:t>8</w:t>
      </w:r>
      <w:bookmarkEnd w:id="18"/>
    </w:p>
    <w:p w14:paraId="3C556064" w14:textId="77777777" w:rsidR="00A3363A" w:rsidRPr="00A3363A" w:rsidRDefault="00A3363A" w:rsidP="00A3363A"/>
    <w:p w14:paraId="73AF3230" w14:textId="6EC2DBAD" w:rsidR="003E7F21" w:rsidRPr="008D776E" w:rsidRDefault="003E7F21" w:rsidP="003E7F21">
      <w:pPr>
        <w:rPr>
          <w:rFonts w:ascii="Arial" w:hAnsi="Arial" w:cs="Arial"/>
          <w:sz w:val="24"/>
          <w:szCs w:val="24"/>
        </w:rPr>
      </w:pPr>
      <w:r w:rsidRPr="008D776E">
        <w:rPr>
          <w:rFonts w:ascii="Arial" w:hAnsi="Arial" w:cs="Arial"/>
          <w:sz w:val="24"/>
          <w:szCs w:val="24"/>
        </w:rPr>
        <w:t>Tabel 18</w:t>
      </w:r>
      <w:r w:rsidR="00466CCC">
        <w:rPr>
          <w:rFonts w:ascii="Arial" w:hAnsi="Arial" w:cs="Arial"/>
          <w:sz w:val="24"/>
          <w:szCs w:val="24"/>
        </w:rPr>
        <w:t>.</w:t>
      </w:r>
      <w:r w:rsidRPr="008D776E">
        <w:rPr>
          <w:rFonts w:ascii="Arial" w:hAnsi="Arial" w:cs="Arial"/>
          <w:sz w:val="24"/>
          <w:szCs w:val="24"/>
        </w:rPr>
        <w:t xml:space="preserve"> Finantstegevus aastatel 202</w:t>
      </w:r>
      <w:r w:rsidR="00156163">
        <w:rPr>
          <w:rFonts w:ascii="Arial" w:hAnsi="Arial" w:cs="Arial"/>
          <w:sz w:val="24"/>
          <w:szCs w:val="24"/>
        </w:rPr>
        <w:t>4</w:t>
      </w:r>
      <w:r w:rsidRPr="008D776E">
        <w:rPr>
          <w:rFonts w:ascii="Arial" w:hAnsi="Arial" w:cs="Arial"/>
          <w:sz w:val="24"/>
          <w:szCs w:val="24"/>
        </w:rPr>
        <w:t>-202</w:t>
      </w:r>
      <w:r w:rsidR="00156163">
        <w:rPr>
          <w:rFonts w:ascii="Arial" w:hAnsi="Arial" w:cs="Arial"/>
          <w:sz w:val="24"/>
          <w:szCs w:val="24"/>
        </w:rPr>
        <w:t>8</w:t>
      </w:r>
    </w:p>
    <w:p w14:paraId="7F0C6ECD" w14:textId="40C417CD" w:rsidR="003E7F21" w:rsidRDefault="00844DC2" w:rsidP="003E7F21">
      <w:pPr>
        <w:rPr>
          <w:rFonts w:ascii="Arial" w:hAnsi="Arial" w:cs="Arial"/>
          <w:b/>
          <w:bCs/>
          <w:sz w:val="32"/>
          <w:szCs w:val="32"/>
        </w:rPr>
      </w:pPr>
      <w:r w:rsidRPr="00844DC2">
        <w:drawing>
          <wp:inline distT="0" distB="0" distL="0" distR="0" wp14:anchorId="66A766DF" wp14:editId="383AA1FA">
            <wp:extent cx="5686425" cy="7681563"/>
            <wp:effectExtent l="0" t="0" r="0" b="0"/>
            <wp:docPr id="220324671" name="Pil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2223" cy="7689395"/>
                    </a:xfrm>
                    <a:prstGeom prst="rect">
                      <a:avLst/>
                    </a:prstGeom>
                    <a:noFill/>
                    <a:ln>
                      <a:noFill/>
                    </a:ln>
                  </pic:spPr>
                </pic:pic>
              </a:graphicData>
            </a:graphic>
          </wp:inline>
        </w:drawing>
      </w:r>
    </w:p>
    <w:p w14:paraId="6B218A64" w14:textId="41B2196F" w:rsidR="000E4F29" w:rsidRPr="00360A5B" w:rsidRDefault="000E4F29" w:rsidP="00360A5B">
      <w:pPr>
        <w:pStyle w:val="Pealkiri2"/>
        <w:rPr>
          <w:b/>
          <w:bCs/>
          <w:sz w:val="32"/>
          <w:szCs w:val="32"/>
        </w:rPr>
      </w:pPr>
      <w:bookmarkStart w:id="19" w:name="_Toc173767794"/>
      <w:r w:rsidRPr="00360A5B">
        <w:rPr>
          <w:b/>
          <w:bCs/>
          <w:sz w:val="32"/>
          <w:szCs w:val="32"/>
        </w:rPr>
        <w:lastRenderedPageBreak/>
        <w:t>1</w:t>
      </w:r>
      <w:r w:rsidR="00360A5B" w:rsidRPr="00360A5B">
        <w:rPr>
          <w:b/>
          <w:bCs/>
          <w:sz w:val="32"/>
          <w:szCs w:val="32"/>
        </w:rPr>
        <w:t>1</w:t>
      </w:r>
      <w:r w:rsidRPr="00360A5B">
        <w:rPr>
          <w:b/>
          <w:bCs/>
          <w:sz w:val="32"/>
          <w:szCs w:val="32"/>
        </w:rPr>
        <w:t>.</w:t>
      </w:r>
      <w:r w:rsidRPr="00360A5B">
        <w:rPr>
          <w:b/>
          <w:bCs/>
          <w:sz w:val="32"/>
          <w:szCs w:val="32"/>
        </w:rPr>
        <w:tab/>
      </w:r>
      <w:r w:rsidR="005C45F6">
        <w:rPr>
          <w:b/>
          <w:bCs/>
          <w:sz w:val="32"/>
          <w:szCs w:val="32"/>
        </w:rPr>
        <w:t>Arengukava eesmärkide teostus aastatel 2024-2028</w:t>
      </w:r>
      <w:bookmarkEnd w:id="19"/>
    </w:p>
    <w:p w14:paraId="60266154" w14:textId="0533C1BF" w:rsidR="00D05E49" w:rsidRDefault="00D05E49" w:rsidP="003E7F21">
      <w:pPr>
        <w:rPr>
          <w:rFonts w:ascii="Arial" w:hAnsi="Arial" w:cs="Arial"/>
          <w:b/>
          <w:bCs/>
          <w:sz w:val="32"/>
          <w:szCs w:val="32"/>
        </w:rPr>
      </w:pPr>
    </w:p>
    <w:p w14:paraId="120D2FCC" w14:textId="79C554F5" w:rsidR="008D776E" w:rsidRPr="003E7F21" w:rsidRDefault="00E542A8" w:rsidP="003E7F21">
      <w:pPr>
        <w:rPr>
          <w:rFonts w:ascii="Arial" w:hAnsi="Arial" w:cs="Arial"/>
          <w:b/>
          <w:bCs/>
          <w:sz w:val="32"/>
          <w:szCs w:val="32"/>
        </w:rPr>
      </w:pPr>
      <w:r w:rsidRPr="00E542A8">
        <w:drawing>
          <wp:inline distT="0" distB="0" distL="0" distR="0" wp14:anchorId="2FC5A6BD" wp14:editId="7803DEDF">
            <wp:extent cx="5760720" cy="6835140"/>
            <wp:effectExtent l="0" t="0" r="0" b="3810"/>
            <wp:docPr id="138879641" name="Pil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6835140"/>
                    </a:xfrm>
                    <a:prstGeom prst="rect">
                      <a:avLst/>
                    </a:prstGeom>
                    <a:noFill/>
                    <a:ln>
                      <a:noFill/>
                    </a:ln>
                  </pic:spPr>
                </pic:pic>
              </a:graphicData>
            </a:graphic>
          </wp:inline>
        </w:drawing>
      </w:r>
    </w:p>
    <w:sectPr w:rsidR="008D776E" w:rsidRPr="003E7F21" w:rsidSect="00EE1FD0">
      <w:footerReference w:type="default" r:id="rId2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99349" w14:textId="77777777" w:rsidR="007D5403" w:rsidRDefault="007D5403" w:rsidP="004335BD">
      <w:pPr>
        <w:spacing w:after="0" w:line="240" w:lineRule="auto"/>
      </w:pPr>
      <w:r>
        <w:separator/>
      </w:r>
    </w:p>
  </w:endnote>
  <w:endnote w:type="continuationSeparator" w:id="0">
    <w:p w14:paraId="0C9E7CAD" w14:textId="77777777" w:rsidR="007D5403" w:rsidRDefault="007D5403" w:rsidP="0043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Light">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926289"/>
      <w:docPartObj>
        <w:docPartGallery w:val="Page Numbers (Bottom of Page)"/>
        <w:docPartUnique/>
      </w:docPartObj>
    </w:sdtPr>
    <w:sdtContent>
      <w:p w14:paraId="65365BB4" w14:textId="597F6B9D" w:rsidR="00805FB9" w:rsidRDefault="00805FB9">
        <w:pPr>
          <w:pStyle w:val="Jalus"/>
          <w:jc w:val="right"/>
        </w:pPr>
        <w:r>
          <w:fldChar w:fldCharType="begin"/>
        </w:r>
        <w:r>
          <w:instrText>PAGE   \* MERGEFORMAT</w:instrText>
        </w:r>
        <w:r>
          <w:fldChar w:fldCharType="separate"/>
        </w:r>
        <w:r>
          <w:t>2</w:t>
        </w:r>
        <w:r>
          <w:fldChar w:fldCharType="end"/>
        </w:r>
      </w:p>
    </w:sdtContent>
  </w:sdt>
  <w:p w14:paraId="3DBD9CDC" w14:textId="77777777" w:rsidR="00805FB9" w:rsidRDefault="00805FB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67F60" w14:textId="77777777" w:rsidR="007D5403" w:rsidRDefault="007D5403" w:rsidP="004335BD">
      <w:pPr>
        <w:spacing w:after="0" w:line="240" w:lineRule="auto"/>
      </w:pPr>
      <w:r>
        <w:separator/>
      </w:r>
    </w:p>
  </w:footnote>
  <w:footnote w:type="continuationSeparator" w:id="0">
    <w:p w14:paraId="2CC61629" w14:textId="77777777" w:rsidR="007D5403" w:rsidRDefault="007D5403" w:rsidP="004335BD">
      <w:pPr>
        <w:spacing w:after="0" w:line="240" w:lineRule="auto"/>
      </w:pPr>
      <w:r>
        <w:continuationSeparator/>
      </w:r>
    </w:p>
  </w:footnote>
  <w:footnote w:id="1">
    <w:p w14:paraId="6F9916AC" w14:textId="77777777" w:rsidR="0007050E" w:rsidRDefault="0007050E" w:rsidP="0007050E">
      <w:pPr>
        <w:pStyle w:val="Allmrkusetekst"/>
      </w:pPr>
      <w:r w:rsidRPr="00F66F19">
        <w:rPr>
          <w:rStyle w:val="Allmrkuseviide"/>
          <w:rFonts w:ascii="Arial" w:hAnsi="Arial" w:cs="Arial"/>
        </w:rPr>
        <w:footnoteRef/>
      </w:r>
      <w:r w:rsidRPr="00F66F19">
        <w:rPr>
          <w:rFonts w:ascii="Arial" w:hAnsi="Arial" w:cs="Arial"/>
        </w:rPr>
        <w:t xml:space="preserve"> Kohaliku omavalitsuse üksuse finantsjuhtimise seadus</w:t>
      </w:r>
      <w:r>
        <w:t xml:space="preserve"> </w:t>
      </w:r>
      <w:r w:rsidRPr="00F77F9B">
        <w:rPr>
          <w:color w:val="0070C0"/>
        </w:rPr>
        <w:t>https://www.riigiteataja.ee/akt/123122011008?leiaKehtiv</w:t>
      </w:r>
    </w:p>
  </w:footnote>
  <w:footnote w:id="2">
    <w:p w14:paraId="5F07BE17" w14:textId="77777777" w:rsidR="0007050E" w:rsidRPr="00F77F9B" w:rsidRDefault="0007050E" w:rsidP="0007050E">
      <w:pPr>
        <w:pStyle w:val="Allmrkusetekst"/>
        <w:rPr>
          <w:rFonts w:ascii="Arial" w:hAnsi="Arial" w:cs="Arial"/>
        </w:rPr>
      </w:pPr>
      <w:r w:rsidRPr="00F77F9B">
        <w:rPr>
          <w:rStyle w:val="Allmrkuseviide"/>
          <w:rFonts w:ascii="Arial" w:hAnsi="Arial" w:cs="Arial"/>
        </w:rPr>
        <w:footnoteRef/>
      </w:r>
      <w:r w:rsidRPr="00F77F9B">
        <w:rPr>
          <w:rFonts w:ascii="Arial" w:hAnsi="Arial" w:cs="Arial"/>
        </w:rPr>
        <w:t xml:space="preserve"> </w:t>
      </w:r>
      <w:r w:rsidRPr="00F77F9B">
        <w:rPr>
          <w:rFonts w:ascii="Arial" w:eastAsia="Times New Roman" w:hAnsi="Arial" w:cs="Arial"/>
          <w:kern w:val="36"/>
          <w:lang w:eastAsia="et-EE"/>
        </w:rPr>
        <w:t>Tartu valla arengudokumentide koostamise, menetlemise, vastuvõtmise ning avalikustamise kord</w:t>
      </w:r>
      <w:r w:rsidRPr="00F77F9B">
        <w:rPr>
          <w:rFonts w:ascii="Arial" w:hAnsi="Arial" w:cs="Arial"/>
        </w:rPr>
        <w:t xml:space="preserve"> </w:t>
      </w:r>
      <w:r w:rsidRPr="008D4DD6">
        <w:rPr>
          <w:rFonts w:cstheme="minorHAnsi"/>
          <w:color w:val="0070C0"/>
        </w:rPr>
        <w:t>https://www.riigiteataja.ee/akt/406122019028?leiaKehtiv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4627"/>
    <w:multiLevelType w:val="hybridMultilevel"/>
    <w:tmpl w:val="36F01ED4"/>
    <w:lvl w:ilvl="0" w:tplc="FFFFFFFF">
      <w:start w:val="1"/>
      <w:numFmt w:val="bullet"/>
      <w:lvlText w:val="•"/>
      <w:lvlJc w:val="left"/>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56D06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A45EDA"/>
    <w:multiLevelType w:val="hybridMultilevel"/>
    <w:tmpl w:val="480EB2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A624969"/>
    <w:multiLevelType w:val="hybridMultilevel"/>
    <w:tmpl w:val="062E8CC6"/>
    <w:lvl w:ilvl="0" w:tplc="A41C3810">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B554CD"/>
    <w:multiLevelType w:val="hybridMultilevel"/>
    <w:tmpl w:val="F18ACBAA"/>
    <w:lvl w:ilvl="0" w:tplc="A41C3810">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63C7C9C"/>
    <w:multiLevelType w:val="hybridMultilevel"/>
    <w:tmpl w:val="900212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41A10BA"/>
    <w:multiLevelType w:val="hybridMultilevel"/>
    <w:tmpl w:val="8DBC00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8DB5CFB"/>
    <w:multiLevelType w:val="hybridMultilevel"/>
    <w:tmpl w:val="CAB067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17B1055"/>
    <w:multiLevelType w:val="hybridMultilevel"/>
    <w:tmpl w:val="DF9AD37C"/>
    <w:lvl w:ilvl="0" w:tplc="A41C3810">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99D2048"/>
    <w:multiLevelType w:val="hybridMultilevel"/>
    <w:tmpl w:val="F10AAAE0"/>
    <w:lvl w:ilvl="0" w:tplc="A41C3810">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2674821"/>
    <w:multiLevelType w:val="hybridMultilevel"/>
    <w:tmpl w:val="92D69B6E"/>
    <w:lvl w:ilvl="0" w:tplc="55BEC484">
      <w:start w:val="1"/>
      <w:numFmt w:val="decimal"/>
      <w:lvlText w:val="%1."/>
      <w:lvlJc w:val="left"/>
      <w:pPr>
        <w:ind w:left="720" w:hanging="360"/>
      </w:pPr>
      <w:rPr>
        <w:rFonts w:hint="default"/>
        <w:sz w:val="32"/>
        <w:szCs w:val="32"/>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73003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E654E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F37578F"/>
    <w:multiLevelType w:val="hybridMultilevel"/>
    <w:tmpl w:val="37B0DE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FD50DCA"/>
    <w:multiLevelType w:val="multilevel"/>
    <w:tmpl w:val="81B8FA2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75CF4A61"/>
    <w:multiLevelType w:val="hybridMultilevel"/>
    <w:tmpl w:val="229635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E850CB5"/>
    <w:multiLevelType w:val="multilevel"/>
    <w:tmpl w:val="51521D44"/>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409080955">
    <w:abstractNumId w:val="11"/>
  </w:num>
  <w:num w:numId="2" w16cid:durableId="608270964">
    <w:abstractNumId w:val="1"/>
  </w:num>
  <w:num w:numId="3" w16cid:durableId="1041127770">
    <w:abstractNumId w:val="0"/>
  </w:num>
  <w:num w:numId="4" w16cid:durableId="387340199">
    <w:abstractNumId w:val="13"/>
  </w:num>
  <w:num w:numId="5" w16cid:durableId="434716543">
    <w:abstractNumId w:val="12"/>
  </w:num>
  <w:num w:numId="6" w16cid:durableId="1794245808">
    <w:abstractNumId w:val="2"/>
  </w:num>
  <w:num w:numId="7" w16cid:durableId="1758400146">
    <w:abstractNumId w:val="5"/>
  </w:num>
  <w:num w:numId="8" w16cid:durableId="1622032766">
    <w:abstractNumId w:val="8"/>
  </w:num>
  <w:num w:numId="9" w16cid:durableId="732583660">
    <w:abstractNumId w:val="9"/>
  </w:num>
  <w:num w:numId="10" w16cid:durableId="1476604381">
    <w:abstractNumId w:val="3"/>
  </w:num>
  <w:num w:numId="11" w16cid:durableId="641689966">
    <w:abstractNumId w:val="14"/>
  </w:num>
  <w:num w:numId="12" w16cid:durableId="507646235">
    <w:abstractNumId w:val="16"/>
  </w:num>
  <w:num w:numId="13" w16cid:durableId="2032099211">
    <w:abstractNumId w:val="4"/>
  </w:num>
  <w:num w:numId="14" w16cid:durableId="1428387764">
    <w:abstractNumId w:val="10"/>
  </w:num>
  <w:num w:numId="15" w16cid:durableId="1727491314">
    <w:abstractNumId w:val="6"/>
  </w:num>
  <w:num w:numId="16" w16cid:durableId="9767032">
    <w:abstractNumId w:val="15"/>
  </w:num>
  <w:num w:numId="17" w16cid:durableId="1494686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CC"/>
    <w:rsid w:val="00000084"/>
    <w:rsid w:val="00001F25"/>
    <w:rsid w:val="00003F87"/>
    <w:rsid w:val="00005479"/>
    <w:rsid w:val="000054E8"/>
    <w:rsid w:val="000070BA"/>
    <w:rsid w:val="000114CD"/>
    <w:rsid w:val="00016B54"/>
    <w:rsid w:val="00024681"/>
    <w:rsid w:val="00024EDD"/>
    <w:rsid w:val="00025425"/>
    <w:rsid w:val="00025872"/>
    <w:rsid w:val="00033567"/>
    <w:rsid w:val="00036F3F"/>
    <w:rsid w:val="00043252"/>
    <w:rsid w:val="00043CE1"/>
    <w:rsid w:val="00050171"/>
    <w:rsid w:val="00050DF4"/>
    <w:rsid w:val="000517CD"/>
    <w:rsid w:val="00052D9B"/>
    <w:rsid w:val="00054A8B"/>
    <w:rsid w:val="00061885"/>
    <w:rsid w:val="000639AE"/>
    <w:rsid w:val="00065A70"/>
    <w:rsid w:val="000674CE"/>
    <w:rsid w:val="0007050E"/>
    <w:rsid w:val="00070C94"/>
    <w:rsid w:val="00072033"/>
    <w:rsid w:val="00080B40"/>
    <w:rsid w:val="000816DA"/>
    <w:rsid w:val="00081C47"/>
    <w:rsid w:val="000825EB"/>
    <w:rsid w:val="00083F8E"/>
    <w:rsid w:val="00085C9C"/>
    <w:rsid w:val="0009041D"/>
    <w:rsid w:val="00090A07"/>
    <w:rsid w:val="00090F55"/>
    <w:rsid w:val="0009211A"/>
    <w:rsid w:val="000929F4"/>
    <w:rsid w:val="00093BF0"/>
    <w:rsid w:val="000A3C21"/>
    <w:rsid w:val="000A4999"/>
    <w:rsid w:val="000B1763"/>
    <w:rsid w:val="000B3A4A"/>
    <w:rsid w:val="000B6D54"/>
    <w:rsid w:val="000B7720"/>
    <w:rsid w:val="000C3AF5"/>
    <w:rsid w:val="000D3B11"/>
    <w:rsid w:val="000D3F14"/>
    <w:rsid w:val="000D53C3"/>
    <w:rsid w:val="000D66F8"/>
    <w:rsid w:val="000D775A"/>
    <w:rsid w:val="000E12CC"/>
    <w:rsid w:val="000E4F29"/>
    <w:rsid w:val="000E637E"/>
    <w:rsid w:val="000E64BF"/>
    <w:rsid w:val="000F3248"/>
    <w:rsid w:val="000F73C5"/>
    <w:rsid w:val="00107BFB"/>
    <w:rsid w:val="00107C85"/>
    <w:rsid w:val="00110227"/>
    <w:rsid w:val="00112929"/>
    <w:rsid w:val="00113839"/>
    <w:rsid w:val="00114FFB"/>
    <w:rsid w:val="00116E3B"/>
    <w:rsid w:val="001202C5"/>
    <w:rsid w:val="0012208A"/>
    <w:rsid w:val="0012554B"/>
    <w:rsid w:val="001266A1"/>
    <w:rsid w:val="00130DB4"/>
    <w:rsid w:val="00134FCB"/>
    <w:rsid w:val="00135166"/>
    <w:rsid w:val="001355CD"/>
    <w:rsid w:val="00135C13"/>
    <w:rsid w:val="0014132B"/>
    <w:rsid w:val="001463B1"/>
    <w:rsid w:val="00151D20"/>
    <w:rsid w:val="00151FB6"/>
    <w:rsid w:val="0015470E"/>
    <w:rsid w:val="00156163"/>
    <w:rsid w:val="00157049"/>
    <w:rsid w:val="001643FB"/>
    <w:rsid w:val="001650D6"/>
    <w:rsid w:val="0016584C"/>
    <w:rsid w:val="0016584E"/>
    <w:rsid w:val="00165D86"/>
    <w:rsid w:val="0016747C"/>
    <w:rsid w:val="0017617E"/>
    <w:rsid w:val="001763BB"/>
    <w:rsid w:val="00177A4D"/>
    <w:rsid w:val="00180343"/>
    <w:rsid w:val="00181F49"/>
    <w:rsid w:val="00182976"/>
    <w:rsid w:val="00183546"/>
    <w:rsid w:val="00183E1A"/>
    <w:rsid w:val="00187F85"/>
    <w:rsid w:val="00193251"/>
    <w:rsid w:val="0019344C"/>
    <w:rsid w:val="00194024"/>
    <w:rsid w:val="00196ACF"/>
    <w:rsid w:val="00196CB1"/>
    <w:rsid w:val="00196F54"/>
    <w:rsid w:val="001A21B2"/>
    <w:rsid w:val="001A2D9A"/>
    <w:rsid w:val="001A2DDF"/>
    <w:rsid w:val="001A4380"/>
    <w:rsid w:val="001B0A4F"/>
    <w:rsid w:val="001B1BF5"/>
    <w:rsid w:val="001B4DCC"/>
    <w:rsid w:val="001B79C7"/>
    <w:rsid w:val="001C1208"/>
    <w:rsid w:val="001C4494"/>
    <w:rsid w:val="001C4FB3"/>
    <w:rsid w:val="001C7788"/>
    <w:rsid w:val="001D02BC"/>
    <w:rsid w:val="001D0D17"/>
    <w:rsid w:val="001D18CF"/>
    <w:rsid w:val="001D308D"/>
    <w:rsid w:val="001D33C8"/>
    <w:rsid w:val="001D4080"/>
    <w:rsid w:val="001D7C84"/>
    <w:rsid w:val="001E0667"/>
    <w:rsid w:val="001E5475"/>
    <w:rsid w:val="001F16BE"/>
    <w:rsid w:val="001F278D"/>
    <w:rsid w:val="001F3971"/>
    <w:rsid w:val="001F7251"/>
    <w:rsid w:val="002037A0"/>
    <w:rsid w:val="00203CCB"/>
    <w:rsid w:val="002053DB"/>
    <w:rsid w:val="00205527"/>
    <w:rsid w:val="00206014"/>
    <w:rsid w:val="002063A1"/>
    <w:rsid w:val="002070B2"/>
    <w:rsid w:val="0020780F"/>
    <w:rsid w:val="0021654E"/>
    <w:rsid w:val="00217DE9"/>
    <w:rsid w:val="00223D2B"/>
    <w:rsid w:val="0023036F"/>
    <w:rsid w:val="002332F9"/>
    <w:rsid w:val="00233A0B"/>
    <w:rsid w:val="0023547F"/>
    <w:rsid w:val="00242923"/>
    <w:rsid w:val="00243656"/>
    <w:rsid w:val="002449D7"/>
    <w:rsid w:val="00250378"/>
    <w:rsid w:val="002629F0"/>
    <w:rsid w:val="00264186"/>
    <w:rsid w:val="002663CF"/>
    <w:rsid w:val="0026698F"/>
    <w:rsid w:val="00267A69"/>
    <w:rsid w:val="00270671"/>
    <w:rsid w:val="002733F5"/>
    <w:rsid w:val="002745A8"/>
    <w:rsid w:val="00275045"/>
    <w:rsid w:val="00277E55"/>
    <w:rsid w:val="00284193"/>
    <w:rsid w:val="00284DD8"/>
    <w:rsid w:val="00291C76"/>
    <w:rsid w:val="002922E7"/>
    <w:rsid w:val="00294DBD"/>
    <w:rsid w:val="00294DD0"/>
    <w:rsid w:val="00295457"/>
    <w:rsid w:val="002A3AC1"/>
    <w:rsid w:val="002B0E13"/>
    <w:rsid w:val="002B5157"/>
    <w:rsid w:val="002B5473"/>
    <w:rsid w:val="002B62D5"/>
    <w:rsid w:val="002B6D16"/>
    <w:rsid w:val="002B77FF"/>
    <w:rsid w:val="002C22B6"/>
    <w:rsid w:val="002C5792"/>
    <w:rsid w:val="002C5F9B"/>
    <w:rsid w:val="002C6554"/>
    <w:rsid w:val="002C660F"/>
    <w:rsid w:val="002C662B"/>
    <w:rsid w:val="002D32A4"/>
    <w:rsid w:val="002D3919"/>
    <w:rsid w:val="002D402D"/>
    <w:rsid w:val="002D6E70"/>
    <w:rsid w:val="002E0435"/>
    <w:rsid w:val="002E3CA1"/>
    <w:rsid w:val="002E7AB9"/>
    <w:rsid w:val="002E7FD9"/>
    <w:rsid w:val="002F264C"/>
    <w:rsid w:val="002F7E58"/>
    <w:rsid w:val="00300E5B"/>
    <w:rsid w:val="003028B1"/>
    <w:rsid w:val="00306BF5"/>
    <w:rsid w:val="00310029"/>
    <w:rsid w:val="003104E0"/>
    <w:rsid w:val="003126B8"/>
    <w:rsid w:val="003151F2"/>
    <w:rsid w:val="00316F94"/>
    <w:rsid w:val="003171B3"/>
    <w:rsid w:val="00320C3A"/>
    <w:rsid w:val="00321F1C"/>
    <w:rsid w:val="00324466"/>
    <w:rsid w:val="003261ED"/>
    <w:rsid w:val="003320B5"/>
    <w:rsid w:val="00333BDA"/>
    <w:rsid w:val="00335C46"/>
    <w:rsid w:val="00336319"/>
    <w:rsid w:val="00341788"/>
    <w:rsid w:val="003419BA"/>
    <w:rsid w:val="00343984"/>
    <w:rsid w:val="00344C18"/>
    <w:rsid w:val="00344F7A"/>
    <w:rsid w:val="003523C6"/>
    <w:rsid w:val="00360A5B"/>
    <w:rsid w:val="00360D8D"/>
    <w:rsid w:val="003639CD"/>
    <w:rsid w:val="00367770"/>
    <w:rsid w:val="00372327"/>
    <w:rsid w:val="003763EC"/>
    <w:rsid w:val="003769B8"/>
    <w:rsid w:val="00380145"/>
    <w:rsid w:val="00381010"/>
    <w:rsid w:val="00382B70"/>
    <w:rsid w:val="00390DD2"/>
    <w:rsid w:val="00396493"/>
    <w:rsid w:val="003968BA"/>
    <w:rsid w:val="003A6403"/>
    <w:rsid w:val="003A66E6"/>
    <w:rsid w:val="003B07FF"/>
    <w:rsid w:val="003B38BD"/>
    <w:rsid w:val="003B5FCD"/>
    <w:rsid w:val="003C0C41"/>
    <w:rsid w:val="003C1BA3"/>
    <w:rsid w:val="003C6CE2"/>
    <w:rsid w:val="003C7A7A"/>
    <w:rsid w:val="003D4053"/>
    <w:rsid w:val="003D738A"/>
    <w:rsid w:val="003D7C56"/>
    <w:rsid w:val="003E35C4"/>
    <w:rsid w:val="003E46BA"/>
    <w:rsid w:val="003E6255"/>
    <w:rsid w:val="003E7F21"/>
    <w:rsid w:val="003F26EA"/>
    <w:rsid w:val="003F6C2F"/>
    <w:rsid w:val="00400C37"/>
    <w:rsid w:val="004038E6"/>
    <w:rsid w:val="00406988"/>
    <w:rsid w:val="004075B6"/>
    <w:rsid w:val="00413488"/>
    <w:rsid w:val="00414400"/>
    <w:rsid w:val="004149B8"/>
    <w:rsid w:val="00417405"/>
    <w:rsid w:val="004308A8"/>
    <w:rsid w:val="004315A3"/>
    <w:rsid w:val="004335BD"/>
    <w:rsid w:val="0043488E"/>
    <w:rsid w:val="00434E25"/>
    <w:rsid w:val="0043568E"/>
    <w:rsid w:val="004360DF"/>
    <w:rsid w:val="0044128B"/>
    <w:rsid w:val="0044418E"/>
    <w:rsid w:val="00445DE3"/>
    <w:rsid w:val="00446414"/>
    <w:rsid w:val="00450FA4"/>
    <w:rsid w:val="00453359"/>
    <w:rsid w:val="00457B46"/>
    <w:rsid w:val="00462284"/>
    <w:rsid w:val="004629D2"/>
    <w:rsid w:val="00463A26"/>
    <w:rsid w:val="00466CCC"/>
    <w:rsid w:val="00466D08"/>
    <w:rsid w:val="0046707C"/>
    <w:rsid w:val="0047076F"/>
    <w:rsid w:val="0047178A"/>
    <w:rsid w:val="00473576"/>
    <w:rsid w:val="0047765E"/>
    <w:rsid w:val="004804EA"/>
    <w:rsid w:val="004806E0"/>
    <w:rsid w:val="004827FD"/>
    <w:rsid w:val="00482E71"/>
    <w:rsid w:val="00482E86"/>
    <w:rsid w:val="0048550B"/>
    <w:rsid w:val="00487D50"/>
    <w:rsid w:val="00487E6C"/>
    <w:rsid w:val="00495C3D"/>
    <w:rsid w:val="004978FD"/>
    <w:rsid w:val="004A3A62"/>
    <w:rsid w:val="004A49F2"/>
    <w:rsid w:val="004A76E8"/>
    <w:rsid w:val="004B2754"/>
    <w:rsid w:val="004B2E45"/>
    <w:rsid w:val="004B5132"/>
    <w:rsid w:val="004D377B"/>
    <w:rsid w:val="004D5BF8"/>
    <w:rsid w:val="004E2AD7"/>
    <w:rsid w:val="004E581C"/>
    <w:rsid w:val="004E63D0"/>
    <w:rsid w:val="004E68C7"/>
    <w:rsid w:val="004E6DCE"/>
    <w:rsid w:val="004F006E"/>
    <w:rsid w:val="004F15F1"/>
    <w:rsid w:val="004F2113"/>
    <w:rsid w:val="004F2758"/>
    <w:rsid w:val="004F549C"/>
    <w:rsid w:val="004F576D"/>
    <w:rsid w:val="0050256D"/>
    <w:rsid w:val="005034D7"/>
    <w:rsid w:val="00510250"/>
    <w:rsid w:val="00511040"/>
    <w:rsid w:val="00512B1D"/>
    <w:rsid w:val="00527C8D"/>
    <w:rsid w:val="00531459"/>
    <w:rsid w:val="005337E3"/>
    <w:rsid w:val="00533ABA"/>
    <w:rsid w:val="0053538B"/>
    <w:rsid w:val="00543044"/>
    <w:rsid w:val="00543F4A"/>
    <w:rsid w:val="00546E9E"/>
    <w:rsid w:val="00547E9E"/>
    <w:rsid w:val="005509A2"/>
    <w:rsid w:val="00551EE5"/>
    <w:rsid w:val="00552A07"/>
    <w:rsid w:val="005532C9"/>
    <w:rsid w:val="005532FF"/>
    <w:rsid w:val="0055493E"/>
    <w:rsid w:val="00555C76"/>
    <w:rsid w:val="00556947"/>
    <w:rsid w:val="00560BE7"/>
    <w:rsid w:val="005612F9"/>
    <w:rsid w:val="005628CC"/>
    <w:rsid w:val="00563383"/>
    <w:rsid w:val="0056631B"/>
    <w:rsid w:val="00567EDF"/>
    <w:rsid w:val="0057729D"/>
    <w:rsid w:val="005772C1"/>
    <w:rsid w:val="0058050E"/>
    <w:rsid w:val="00581D4B"/>
    <w:rsid w:val="00583169"/>
    <w:rsid w:val="005856F3"/>
    <w:rsid w:val="00591D1C"/>
    <w:rsid w:val="00592901"/>
    <w:rsid w:val="005943AA"/>
    <w:rsid w:val="005A03D5"/>
    <w:rsid w:val="005A1CD9"/>
    <w:rsid w:val="005A4DE3"/>
    <w:rsid w:val="005A60F5"/>
    <w:rsid w:val="005A7F25"/>
    <w:rsid w:val="005B0379"/>
    <w:rsid w:val="005C07F9"/>
    <w:rsid w:val="005C0F12"/>
    <w:rsid w:val="005C0F69"/>
    <w:rsid w:val="005C11FF"/>
    <w:rsid w:val="005C172D"/>
    <w:rsid w:val="005C45F6"/>
    <w:rsid w:val="005C6CAF"/>
    <w:rsid w:val="005D162F"/>
    <w:rsid w:val="005D257B"/>
    <w:rsid w:val="005D4469"/>
    <w:rsid w:val="005D4979"/>
    <w:rsid w:val="005D4E2C"/>
    <w:rsid w:val="005E0147"/>
    <w:rsid w:val="005E2331"/>
    <w:rsid w:val="005E269C"/>
    <w:rsid w:val="005E38A6"/>
    <w:rsid w:val="005E39D1"/>
    <w:rsid w:val="005F0D5D"/>
    <w:rsid w:val="005F2FC1"/>
    <w:rsid w:val="005F4143"/>
    <w:rsid w:val="005F61B3"/>
    <w:rsid w:val="00606021"/>
    <w:rsid w:val="00606B73"/>
    <w:rsid w:val="00606F80"/>
    <w:rsid w:val="00611244"/>
    <w:rsid w:val="0061416A"/>
    <w:rsid w:val="00616BED"/>
    <w:rsid w:val="00616EA5"/>
    <w:rsid w:val="00621D57"/>
    <w:rsid w:val="0062286A"/>
    <w:rsid w:val="00624C41"/>
    <w:rsid w:val="00631E76"/>
    <w:rsid w:val="00633527"/>
    <w:rsid w:val="006366FA"/>
    <w:rsid w:val="00645DBB"/>
    <w:rsid w:val="00646135"/>
    <w:rsid w:val="00646BFB"/>
    <w:rsid w:val="00650296"/>
    <w:rsid w:val="00651F0F"/>
    <w:rsid w:val="00652963"/>
    <w:rsid w:val="0065533C"/>
    <w:rsid w:val="0066006D"/>
    <w:rsid w:val="00660AE2"/>
    <w:rsid w:val="006653DE"/>
    <w:rsid w:val="00674321"/>
    <w:rsid w:val="006836FE"/>
    <w:rsid w:val="00696DFA"/>
    <w:rsid w:val="006A6D8F"/>
    <w:rsid w:val="006B3258"/>
    <w:rsid w:val="006B4FBB"/>
    <w:rsid w:val="006B6343"/>
    <w:rsid w:val="006C17A6"/>
    <w:rsid w:val="006C2884"/>
    <w:rsid w:val="006C2C71"/>
    <w:rsid w:val="006C5955"/>
    <w:rsid w:val="006C6C35"/>
    <w:rsid w:val="006D09F8"/>
    <w:rsid w:val="006D0F34"/>
    <w:rsid w:val="006D11E2"/>
    <w:rsid w:val="006D201D"/>
    <w:rsid w:val="006D3FF3"/>
    <w:rsid w:val="006D5059"/>
    <w:rsid w:val="006E1899"/>
    <w:rsid w:val="006E3565"/>
    <w:rsid w:val="006E3E76"/>
    <w:rsid w:val="006F0B3F"/>
    <w:rsid w:val="006F13AA"/>
    <w:rsid w:val="006F23A0"/>
    <w:rsid w:val="006F33CD"/>
    <w:rsid w:val="006F42C1"/>
    <w:rsid w:val="006F4813"/>
    <w:rsid w:val="006F56AC"/>
    <w:rsid w:val="00703CA7"/>
    <w:rsid w:val="00705F25"/>
    <w:rsid w:val="0070717D"/>
    <w:rsid w:val="007071F4"/>
    <w:rsid w:val="00713A33"/>
    <w:rsid w:val="00714D6A"/>
    <w:rsid w:val="00717225"/>
    <w:rsid w:val="007201D8"/>
    <w:rsid w:val="00724E37"/>
    <w:rsid w:val="007258CF"/>
    <w:rsid w:val="00733CFC"/>
    <w:rsid w:val="007411C7"/>
    <w:rsid w:val="00742A1A"/>
    <w:rsid w:val="00746303"/>
    <w:rsid w:val="0074692E"/>
    <w:rsid w:val="00751D3E"/>
    <w:rsid w:val="0075332C"/>
    <w:rsid w:val="00755CCF"/>
    <w:rsid w:val="00763699"/>
    <w:rsid w:val="00763EDA"/>
    <w:rsid w:val="00767EC5"/>
    <w:rsid w:val="0077061C"/>
    <w:rsid w:val="00775978"/>
    <w:rsid w:val="00782826"/>
    <w:rsid w:val="007828A2"/>
    <w:rsid w:val="007848FC"/>
    <w:rsid w:val="00784EF1"/>
    <w:rsid w:val="007870C4"/>
    <w:rsid w:val="0079068B"/>
    <w:rsid w:val="00791982"/>
    <w:rsid w:val="007A0B58"/>
    <w:rsid w:val="007A0CF2"/>
    <w:rsid w:val="007A5D90"/>
    <w:rsid w:val="007B396B"/>
    <w:rsid w:val="007C3780"/>
    <w:rsid w:val="007C37D7"/>
    <w:rsid w:val="007C386B"/>
    <w:rsid w:val="007C3B5E"/>
    <w:rsid w:val="007C450D"/>
    <w:rsid w:val="007C54D6"/>
    <w:rsid w:val="007C79EE"/>
    <w:rsid w:val="007D0D76"/>
    <w:rsid w:val="007D277B"/>
    <w:rsid w:val="007D5403"/>
    <w:rsid w:val="007D5652"/>
    <w:rsid w:val="007D7943"/>
    <w:rsid w:val="007E0323"/>
    <w:rsid w:val="007E3322"/>
    <w:rsid w:val="007E5232"/>
    <w:rsid w:val="007F1F6D"/>
    <w:rsid w:val="007F2360"/>
    <w:rsid w:val="007F2AE2"/>
    <w:rsid w:val="007F7A48"/>
    <w:rsid w:val="00805AEF"/>
    <w:rsid w:val="00805FB9"/>
    <w:rsid w:val="008112A6"/>
    <w:rsid w:val="00811CD0"/>
    <w:rsid w:val="00812C30"/>
    <w:rsid w:val="00814DAC"/>
    <w:rsid w:val="00814FDD"/>
    <w:rsid w:val="0081724B"/>
    <w:rsid w:val="008212E6"/>
    <w:rsid w:val="00824C17"/>
    <w:rsid w:val="00826709"/>
    <w:rsid w:val="00830409"/>
    <w:rsid w:val="008360FA"/>
    <w:rsid w:val="00841A5A"/>
    <w:rsid w:val="00844DC2"/>
    <w:rsid w:val="0084604D"/>
    <w:rsid w:val="0085310C"/>
    <w:rsid w:val="008609E9"/>
    <w:rsid w:val="0086224D"/>
    <w:rsid w:val="00863438"/>
    <w:rsid w:val="0086350D"/>
    <w:rsid w:val="00866D8E"/>
    <w:rsid w:val="008741A2"/>
    <w:rsid w:val="0087496F"/>
    <w:rsid w:val="00876054"/>
    <w:rsid w:val="008810DE"/>
    <w:rsid w:val="00883ADC"/>
    <w:rsid w:val="00884650"/>
    <w:rsid w:val="00886CCF"/>
    <w:rsid w:val="00891E28"/>
    <w:rsid w:val="00891EAE"/>
    <w:rsid w:val="008965D5"/>
    <w:rsid w:val="0089685A"/>
    <w:rsid w:val="008A0B46"/>
    <w:rsid w:val="008A33C2"/>
    <w:rsid w:val="008A3E40"/>
    <w:rsid w:val="008A5560"/>
    <w:rsid w:val="008A57E4"/>
    <w:rsid w:val="008A7ACB"/>
    <w:rsid w:val="008B2B9A"/>
    <w:rsid w:val="008C08B4"/>
    <w:rsid w:val="008C08E8"/>
    <w:rsid w:val="008C1E77"/>
    <w:rsid w:val="008C2133"/>
    <w:rsid w:val="008C320F"/>
    <w:rsid w:val="008C33B4"/>
    <w:rsid w:val="008C34FA"/>
    <w:rsid w:val="008D23F1"/>
    <w:rsid w:val="008D3DCE"/>
    <w:rsid w:val="008D4433"/>
    <w:rsid w:val="008D6316"/>
    <w:rsid w:val="008D717F"/>
    <w:rsid w:val="008D776E"/>
    <w:rsid w:val="008F534C"/>
    <w:rsid w:val="008F651B"/>
    <w:rsid w:val="00901DD0"/>
    <w:rsid w:val="00902931"/>
    <w:rsid w:val="00902A4F"/>
    <w:rsid w:val="0090390A"/>
    <w:rsid w:val="009048A6"/>
    <w:rsid w:val="00904D1A"/>
    <w:rsid w:val="00910D75"/>
    <w:rsid w:val="00911D10"/>
    <w:rsid w:val="00912975"/>
    <w:rsid w:val="009146E1"/>
    <w:rsid w:val="00920EBD"/>
    <w:rsid w:val="0092447C"/>
    <w:rsid w:val="00924D4E"/>
    <w:rsid w:val="0092720F"/>
    <w:rsid w:val="00932135"/>
    <w:rsid w:val="009340F2"/>
    <w:rsid w:val="00935024"/>
    <w:rsid w:val="00936C66"/>
    <w:rsid w:val="009378F4"/>
    <w:rsid w:val="00940A3D"/>
    <w:rsid w:val="00941AC0"/>
    <w:rsid w:val="00943D1D"/>
    <w:rsid w:val="00943E77"/>
    <w:rsid w:val="009459DA"/>
    <w:rsid w:val="0094611A"/>
    <w:rsid w:val="00953420"/>
    <w:rsid w:val="00956759"/>
    <w:rsid w:val="00956B9D"/>
    <w:rsid w:val="00965849"/>
    <w:rsid w:val="00965C2E"/>
    <w:rsid w:val="009665B8"/>
    <w:rsid w:val="00967443"/>
    <w:rsid w:val="0096749C"/>
    <w:rsid w:val="00970B78"/>
    <w:rsid w:val="00981A4F"/>
    <w:rsid w:val="00982C31"/>
    <w:rsid w:val="00983CFB"/>
    <w:rsid w:val="009908A3"/>
    <w:rsid w:val="00990EB2"/>
    <w:rsid w:val="00992BE1"/>
    <w:rsid w:val="00997107"/>
    <w:rsid w:val="00997F4A"/>
    <w:rsid w:val="009A1BBA"/>
    <w:rsid w:val="009A21A9"/>
    <w:rsid w:val="009A33BE"/>
    <w:rsid w:val="009A5455"/>
    <w:rsid w:val="009B2B8D"/>
    <w:rsid w:val="009B5BDE"/>
    <w:rsid w:val="009B60D2"/>
    <w:rsid w:val="009B61F9"/>
    <w:rsid w:val="009B6C3F"/>
    <w:rsid w:val="009C5AEE"/>
    <w:rsid w:val="009C7E79"/>
    <w:rsid w:val="009C7F52"/>
    <w:rsid w:val="009D2000"/>
    <w:rsid w:val="009D2316"/>
    <w:rsid w:val="009D417A"/>
    <w:rsid w:val="009D75DA"/>
    <w:rsid w:val="009E52B6"/>
    <w:rsid w:val="009F07DE"/>
    <w:rsid w:val="009F1DEE"/>
    <w:rsid w:val="009F4ECB"/>
    <w:rsid w:val="009F72FF"/>
    <w:rsid w:val="00A05137"/>
    <w:rsid w:val="00A0565E"/>
    <w:rsid w:val="00A15712"/>
    <w:rsid w:val="00A1721F"/>
    <w:rsid w:val="00A224B3"/>
    <w:rsid w:val="00A2360C"/>
    <w:rsid w:val="00A25FB4"/>
    <w:rsid w:val="00A30E07"/>
    <w:rsid w:val="00A3363A"/>
    <w:rsid w:val="00A451E1"/>
    <w:rsid w:val="00A47045"/>
    <w:rsid w:val="00A54060"/>
    <w:rsid w:val="00A548CA"/>
    <w:rsid w:val="00A56B7F"/>
    <w:rsid w:val="00A56CC0"/>
    <w:rsid w:val="00A57C92"/>
    <w:rsid w:val="00A60721"/>
    <w:rsid w:val="00A61143"/>
    <w:rsid w:val="00A635FE"/>
    <w:rsid w:val="00A66424"/>
    <w:rsid w:val="00A6716B"/>
    <w:rsid w:val="00A704EF"/>
    <w:rsid w:val="00A711C2"/>
    <w:rsid w:val="00A75228"/>
    <w:rsid w:val="00A82CB7"/>
    <w:rsid w:val="00A8430B"/>
    <w:rsid w:val="00A85E8A"/>
    <w:rsid w:val="00A9389E"/>
    <w:rsid w:val="00A97015"/>
    <w:rsid w:val="00AA18FD"/>
    <w:rsid w:val="00AA3678"/>
    <w:rsid w:val="00AA3705"/>
    <w:rsid w:val="00AA7527"/>
    <w:rsid w:val="00AB23D6"/>
    <w:rsid w:val="00AB528C"/>
    <w:rsid w:val="00AB588B"/>
    <w:rsid w:val="00AB6661"/>
    <w:rsid w:val="00AC0644"/>
    <w:rsid w:val="00AC1638"/>
    <w:rsid w:val="00AC6A94"/>
    <w:rsid w:val="00AC71B1"/>
    <w:rsid w:val="00AD1D62"/>
    <w:rsid w:val="00AD29BD"/>
    <w:rsid w:val="00AD3245"/>
    <w:rsid w:val="00AD3532"/>
    <w:rsid w:val="00AD3A01"/>
    <w:rsid w:val="00AF64BA"/>
    <w:rsid w:val="00B04275"/>
    <w:rsid w:val="00B06F89"/>
    <w:rsid w:val="00B07A98"/>
    <w:rsid w:val="00B1358E"/>
    <w:rsid w:val="00B21975"/>
    <w:rsid w:val="00B21F07"/>
    <w:rsid w:val="00B221FD"/>
    <w:rsid w:val="00B225BF"/>
    <w:rsid w:val="00B23E69"/>
    <w:rsid w:val="00B3511B"/>
    <w:rsid w:val="00B35BAB"/>
    <w:rsid w:val="00B3757A"/>
    <w:rsid w:val="00B441D9"/>
    <w:rsid w:val="00B519BE"/>
    <w:rsid w:val="00B57D68"/>
    <w:rsid w:val="00B57DBA"/>
    <w:rsid w:val="00B61D57"/>
    <w:rsid w:val="00B63D4B"/>
    <w:rsid w:val="00B66AD6"/>
    <w:rsid w:val="00B72F77"/>
    <w:rsid w:val="00B73ADF"/>
    <w:rsid w:val="00B74628"/>
    <w:rsid w:val="00B7751A"/>
    <w:rsid w:val="00B84162"/>
    <w:rsid w:val="00B86784"/>
    <w:rsid w:val="00B86A20"/>
    <w:rsid w:val="00B87AF4"/>
    <w:rsid w:val="00B90FA0"/>
    <w:rsid w:val="00B92BE8"/>
    <w:rsid w:val="00B932EF"/>
    <w:rsid w:val="00B9398C"/>
    <w:rsid w:val="00B95BD1"/>
    <w:rsid w:val="00B96DAD"/>
    <w:rsid w:val="00B97241"/>
    <w:rsid w:val="00BA22F4"/>
    <w:rsid w:val="00BA43C1"/>
    <w:rsid w:val="00BB327B"/>
    <w:rsid w:val="00BB43A4"/>
    <w:rsid w:val="00BC07CC"/>
    <w:rsid w:val="00BC087E"/>
    <w:rsid w:val="00BC35ED"/>
    <w:rsid w:val="00BC5823"/>
    <w:rsid w:val="00BC6257"/>
    <w:rsid w:val="00BD04B1"/>
    <w:rsid w:val="00BD2C18"/>
    <w:rsid w:val="00BD7AC9"/>
    <w:rsid w:val="00BE2644"/>
    <w:rsid w:val="00BE4045"/>
    <w:rsid w:val="00BE57BD"/>
    <w:rsid w:val="00BE6019"/>
    <w:rsid w:val="00BE7B93"/>
    <w:rsid w:val="00BF6FB5"/>
    <w:rsid w:val="00C0022C"/>
    <w:rsid w:val="00C022AB"/>
    <w:rsid w:val="00C02309"/>
    <w:rsid w:val="00C023DB"/>
    <w:rsid w:val="00C07481"/>
    <w:rsid w:val="00C100CB"/>
    <w:rsid w:val="00C106C5"/>
    <w:rsid w:val="00C1349D"/>
    <w:rsid w:val="00C210D2"/>
    <w:rsid w:val="00C2343E"/>
    <w:rsid w:val="00C24E60"/>
    <w:rsid w:val="00C2568B"/>
    <w:rsid w:val="00C2736E"/>
    <w:rsid w:val="00C32B33"/>
    <w:rsid w:val="00C34249"/>
    <w:rsid w:val="00C35C11"/>
    <w:rsid w:val="00C365A0"/>
    <w:rsid w:val="00C5289F"/>
    <w:rsid w:val="00C53953"/>
    <w:rsid w:val="00C53A25"/>
    <w:rsid w:val="00C550E2"/>
    <w:rsid w:val="00C63A34"/>
    <w:rsid w:val="00C66EB1"/>
    <w:rsid w:val="00C73A92"/>
    <w:rsid w:val="00C7451D"/>
    <w:rsid w:val="00C74A35"/>
    <w:rsid w:val="00C84506"/>
    <w:rsid w:val="00C92109"/>
    <w:rsid w:val="00C96AEA"/>
    <w:rsid w:val="00CA072A"/>
    <w:rsid w:val="00CA3A04"/>
    <w:rsid w:val="00CB6756"/>
    <w:rsid w:val="00CB7E96"/>
    <w:rsid w:val="00CB7FD1"/>
    <w:rsid w:val="00CC26ED"/>
    <w:rsid w:val="00CC5CCD"/>
    <w:rsid w:val="00CD0A28"/>
    <w:rsid w:val="00CD2EC2"/>
    <w:rsid w:val="00CD43C0"/>
    <w:rsid w:val="00CD6452"/>
    <w:rsid w:val="00CD6B75"/>
    <w:rsid w:val="00CD7FD1"/>
    <w:rsid w:val="00CE020D"/>
    <w:rsid w:val="00CE3E8D"/>
    <w:rsid w:val="00CE46B8"/>
    <w:rsid w:val="00CE675F"/>
    <w:rsid w:val="00CE7C85"/>
    <w:rsid w:val="00CF1E33"/>
    <w:rsid w:val="00CF4404"/>
    <w:rsid w:val="00CF6451"/>
    <w:rsid w:val="00CF7FF6"/>
    <w:rsid w:val="00D014F9"/>
    <w:rsid w:val="00D017A2"/>
    <w:rsid w:val="00D03E90"/>
    <w:rsid w:val="00D05E49"/>
    <w:rsid w:val="00D12A6E"/>
    <w:rsid w:val="00D12FCF"/>
    <w:rsid w:val="00D13B5E"/>
    <w:rsid w:val="00D14D83"/>
    <w:rsid w:val="00D17101"/>
    <w:rsid w:val="00D228B6"/>
    <w:rsid w:val="00D22A98"/>
    <w:rsid w:val="00D2398A"/>
    <w:rsid w:val="00D24B63"/>
    <w:rsid w:val="00D34427"/>
    <w:rsid w:val="00D40A06"/>
    <w:rsid w:val="00D42B5E"/>
    <w:rsid w:val="00D47827"/>
    <w:rsid w:val="00D53BCB"/>
    <w:rsid w:val="00D56C67"/>
    <w:rsid w:val="00D56D25"/>
    <w:rsid w:val="00D57158"/>
    <w:rsid w:val="00D60964"/>
    <w:rsid w:val="00D64605"/>
    <w:rsid w:val="00D66582"/>
    <w:rsid w:val="00D667CF"/>
    <w:rsid w:val="00D669AF"/>
    <w:rsid w:val="00D669C4"/>
    <w:rsid w:val="00D7127D"/>
    <w:rsid w:val="00D725C2"/>
    <w:rsid w:val="00D72D09"/>
    <w:rsid w:val="00D735DD"/>
    <w:rsid w:val="00D7384F"/>
    <w:rsid w:val="00D75846"/>
    <w:rsid w:val="00D77099"/>
    <w:rsid w:val="00D809A0"/>
    <w:rsid w:val="00D83B55"/>
    <w:rsid w:val="00D85050"/>
    <w:rsid w:val="00D8556E"/>
    <w:rsid w:val="00D942E0"/>
    <w:rsid w:val="00D94A5B"/>
    <w:rsid w:val="00DA4727"/>
    <w:rsid w:val="00DB294E"/>
    <w:rsid w:val="00DB4E16"/>
    <w:rsid w:val="00DB5172"/>
    <w:rsid w:val="00DB59F8"/>
    <w:rsid w:val="00DB5CCC"/>
    <w:rsid w:val="00DC4DF3"/>
    <w:rsid w:val="00DC605D"/>
    <w:rsid w:val="00DC6BCE"/>
    <w:rsid w:val="00DC6FA0"/>
    <w:rsid w:val="00DD4687"/>
    <w:rsid w:val="00DE1973"/>
    <w:rsid w:val="00DE2A72"/>
    <w:rsid w:val="00DE3441"/>
    <w:rsid w:val="00DE400A"/>
    <w:rsid w:val="00DE414D"/>
    <w:rsid w:val="00DF0401"/>
    <w:rsid w:val="00DF2F7F"/>
    <w:rsid w:val="00DF3215"/>
    <w:rsid w:val="00DF474E"/>
    <w:rsid w:val="00E02A8C"/>
    <w:rsid w:val="00E11077"/>
    <w:rsid w:val="00E12F1B"/>
    <w:rsid w:val="00E13D94"/>
    <w:rsid w:val="00E140AF"/>
    <w:rsid w:val="00E149D0"/>
    <w:rsid w:val="00E242CE"/>
    <w:rsid w:val="00E32C89"/>
    <w:rsid w:val="00E40E29"/>
    <w:rsid w:val="00E50989"/>
    <w:rsid w:val="00E50F4F"/>
    <w:rsid w:val="00E542A8"/>
    <w:rsid w:val="00E57EE5"/>
    <w:rsid w:val="00E60588"/>
    <w:rsid w:val="00E60942"/>
    <w:rsid w:val="00E61E0A"/>
    <w:rsid w:val="00E64B73"/>
    <w:rsid w:val="00E65309"/>
    <w:rsid w:val="00E6784A"/>
    <w:rsid w:val="00E7116B"/>
    <w:rsid w:val="00E744B1"/>
    <w:rsid w:val="00E74DDC"/>
    <w:rsid w:val="00E753E0"/>
    <w:rsid w:val="00E81179"/>
    <w:rsid w:val="00E83085"/>
    <w:rsid w:val="00E94E88"/>
    <w:rsid w:val="00E95792"/>
    <w:rsid w:val="00E96AC4"/>
    <w:rsid w:val="00EA048A"/>
    <w:rsid w:val="00EA35ED"/>
    <w:rsid w:val="00EA720A"/>
    <w:rsid w:val="00EB320D"/>
    <w:rsid w:val="00EB4C4F"/>
    <w:rsid w:val="00EB4C51"/>
    <w:rsid w:val="00EB5F61"/>
    <w:rsid w:val="00EB70CA"/>
    <w:rsid w:val="00EC0ECE"/>
    <w:rsid w:val="00EC32F5"/>
    <w:rsid w:val="00EC3853"/>
    <w:rsid w:val="00EC3F8E"/>
    <w:rsid w:val="00ED0315"/>
    <w:rsid w:val="00ED0EAC"/>
    <w:rsid w:val="00ED2231"/>
    <w:rsid w:val="00ED2236"/>
    <w:rsid w:val="00ED252C"/>
    <w:rsid w:val="00ED384D"/>
    <w:rsid w:val="00ED3C1B"/>
    <w:rsid w:val="00ED41D3"/>
    <w:rsid w:val="00ED6D83"/>
    <w:rsid w:val="00EE1FD0"/>
    <w:rsid w:val="00EF0522"/>
    <w:rsid w:val="00F00EB8"/>
    <w:rsid w:val="00F0200B"/>
    <w:rsid w:val="00F121B4"/>
    <w:rsid w:val="00F14FC3"/>
    <w:rsid w:val="00F16AB8"/>
    <w:rsid w:val="00F20736"/>
    <w:rsid w:val="00F231BC"/>
    <w:rsid w:val="00F246A4"/>
    <w:rsid w:val="00F275CB"/>
    <w:rsid w:val="00F3529D"/>
    <w:rsid w:val="00F36006"/>
    <w:rsid w:val="00F36BF1"/>
    <w:rsid w:val="00F376DA"/>
    <w:rsid w:val="00F40953"/>
    <w:rsid w:val="00F42D8E"/>
    <w:rsid w:val="00F461E8"/>
    <w:rsid w:val="00F500C5"/>
    <w:rsid w:val="00F507B7"/>
    <w:rsid w:val="00F52175"/>
    <w:rsid w:val="00F527A9"/>
    <w:rsid w:val="00F5288D"/>
    <w:rsid w:val="00F558A6"/>
    <w:rsid w:val="00F566AE"/>
    <w:rsid w:val="00F633DE"/>
    <w:rsid w:val="00F66FDA"/>
    <w:rsid w:val="00F67C45"/>
    <w:rsid w:val="00F72492"/>
    <w:rsid w:val="00F754C1"/>
    <w:rsid w:val="00F80EAD"/>
    <w:rsid w:val="00F81AF0"/>
    <w:rsid w:val="00F82623"/>
    <w:rsid w:val="00F84EE8"/>
    <w:rsid w:val="00F8631D"/>
    <w:rsid w:val="00F86D64"/>
    <w:rsid w:val="00F8787E"/>
    <w:rsid w:val="00F9250F"/>
    <w:rsid w:val="00F927BE"/>
    <w:rsid w:val="00F931BB"/>
    <w:rsid w:val="00F9590E"/>
    <w:rsid w:val="00F962E5"/>
    <w:rsid w:val="00F97902"/>
    <w:rsid w:val="00FA0CF7"/>
    <w:rsid w:val="00FA23E6"/>
    <w:rsid w:val="00FA6AE6"/>
    <w:rsid w:val="00FA7432"/>
    <w:rsid w:val="00FB21E0"/>
    <w:rsid w:val="00FB390B"/>
    <w:rsid w:val="00FB399B"/>
    <w:rsid w:val="00FB3D91"/>
    <w:rsid w:val="00FB4D0C"/>
    <w:rsid w:val="00FB6E2A"/>
    <w:rsid w:val="00FC003F"/>
    <w:rsid w:val="00FC1FBE"/>
    <w:rsid w:val="00FC3406"/>
    <w:rsid w:val="00FC57CD"/>
    <w:rsid w:val="00FD115D"/>
    <w:rsid w:val="00FD1DCC"/>
    <w:rsid w:val="00FD2AE6"/>
    <w:rsid w:val="00FD35E5"/>
    <w:rsid w:val="00FD5298"/>
    <w:rsid w:val="00FD6FCE"/>
    <w:rsid w:val="00FD7430"/>
    <w:rsid w:val="00FE0AFE"/>
    <w:rsid w:val="00FE535A"/>
    <w:rsid w:val="00FE64C5"/>
    <w:rsid w:val="00FF0639"/>
    <w:rsid w:val="00FF23BC"/>
    <w:rsid w:val="00FF27E8"/>
    <w:rsid w:val="00FF4D79"/>
    <w:rsid w:val="00FF5DBF"/>
    <w:rsid w:val="00FF68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B6BA"/>
  <w15:chartTrackingRefBased/>
  <w15:docId w15:val="{09412387-B0A9-413B-BFBF-F52E5FCA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3F4A"/>
  </w:style>
  <w:style w:type="paragraph" w:styleId="Pealkiri1">
    <w:name w:val="heading 1"/>
    <w:basedOn w:val="Normaallaad"/>
    <w:next w:val="Normaallaad"/>
    <w:link w:val="Pealkiri1Mrk"/>
    <w:uiPriority w:val="9"/>
    <w:qFormat/>
    <w:rsid w:val="00FD2A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805F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FD1DCC"/>
    <w:pPr>
      <w:autoSpaceDE w:val="0"/>
      <w:autoSpaceDN w:val="0"/>
      <w:adjustRightInd w:val="0"/>
      <w:spacing w:after="0" w:line="240" w:lineRule="auto"/>
    </w:pPr>
    <w:rPr>
      <w:rFonts w:ascii="Arial" w:hAnsi="Arial" w:cs="Arial"/>
      <w:color w:val="000000"/>
      <w:sz w:val="24"/>
      <w:szCs w:val="24"/>
    </w:rPr>
  </w:style>
  <w:style w:type="paragraph" w:styleId="Loendilik">
    <w:name w:val="List Paragraph"/>
    <w:basedOn w:val="Normaallaad"/>
    <w:uiPriority w:val="34"/>
    <w:qFormat/>
    <w:rsid w:val="00F72492"/>
    <w:pPr>
      <w:ind w:left="720"/>
      <w:contextualSpacing/>
    </w:pPr>
  </w:style>
  <w:style w:type="character" w:customStyle="1" w:styleId="Pealkiri1Mrk">
    <w:name w:val="Pealkiri 1 Märk"/>
    <w:basedOn w:val="Liguvaikefont"/>
    <w:link w:val="Pealkiri1"/>
    <w:uiPriority w:val="9"/>
    <w:rsid w:val="00FD2AE6"/>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FD2AE6"/>
    <w:pPr>
      <w:outlineLvl w:val="9"/>
    </w:pPr>
    <w:rPr>
      <w:lang w:eastAsia="et-EE"/>
    </w:rPr>
  </w:style>
  <w:style w:type="paragraph" w:styleId="Pis">
    <w:name w:val="header"/>
    <w:basedOn w:val="Normaallaad"/>
    <w:link w:val="PisMrk"/>
    <w:uiPriority w:val="99"/>
    <w:unhideWhenUsed/>
    <w:rsid w:val="004335BD"/>
    <w:pPr>
      <w:tabs>
        <w:tab w:val="center" w:pos="4536"/>
        <w:tab w:val="right" w:pos="9072"/>
      </w:tabs>
      <w:spacing w:after="0" w:line="240" w:lineRule="auto"/>
    </w:pPr>
  </w:style>
  <w:style w:type="character" w:customStyle="1" w:styleId="PisMrk">
    <w:name w:val="Päis Märk"/>
    <w:basedOn w:val="Liguvaikefont"/>
    <w:link w:val="Pis"/>
    <w:uiPriority w:val="99"/>
    <w:rsid w:val="004335BD"/>
  </w:style>
  <w:style w:type="paragraph" w:styleId="Jalus">
    <w:name w:val="footer"/>
    <w:basedOn w:val="Normaallaad"/>
    <w:link w:val="JalusMrk"/>
    <w:uiPriority w:val="99"/>
    <w:unhideWhenUsed/>
    <w:rsid w:val="004335BD"/>
    <w:pPr>
      <w:tabs>
        <w:tab w:val="center" w:pos="4536"/>
        <w:tab w:val="right" w:pos="9072"/>
      </w:tabs>
      <w:spacing w:after="0" w:line="240" w:lineRule="auto"/>
    </w:pPr>
  </w:style>
  <w:style w:type="character" w:customStyle="1" w:styleId="JalusMrk">
    <w:name w:val="Jalus Märk"/>
    <w:basedOn w:val="Liguvaikefont"/>
    <w:link w:val="Jalus"/>
    <w:uiPriority w:val="99"/>
    <w:rsid w:val="004335BD"/>
  </w:style>
  <w:style w:type="character" w:customStyle="1" w:styleId="Pealkiri2Mrk">
    <w:name w:val="Pealkiri 2 Märk"/>
    <w:basedOn w:val="Liguvaikefont"/>
    <w:link w:val="Pealkiri2"/>
    <w:uiPriority w:val="9"/>
    <w:rsid w:val="00805FB9"/>
    <w:rPr>
      <w:rFonts w:asciiTheme="majorHAnsi" w:eastAsiaTheme="majorEastAsia" w:hAnsiTheme="majorHAnsi" w:cstheme="majorBidi"/>
      <w:color w:val="2F5496" w:themeColor="accent1" w:themeShade="BF"/>
      <w:sz w:val="26"/>
      <w:szCs w:val="26"/>
    </w:rPr>
  </w:style>
  <w:style w:type="paragraph" w:styleId="SK1">
    <w:name w:val="toc 1"/>
    <w:basedOn w:val="Normaallaad"/>
    <w:next w:val="Normaallaad"/>
    <w:autoRedefine/>
    <w:uiPriority w:val="39"/>
    <w:unhideWhenUsed/>
    <w:rsid w:val="0084604D"/>
    <w:pPr>
      <w:spacing w:after="100"/>
    </w:pPr>
  </w:style>
  <w:style w:type="paragraph" w:styleId="SK2">
    <w:name w:val="toc 2"/>
    <w:basedOn w:val="Normaallaad"/>
    <w:next w:val="Normaallaad"/>
    <w:autoRedefine/>
    <w:uiPriority w:val="39"/>
    <w:unhideWhenUsed/>
    <w:rsid w:val="0084604D"/>
    <w:pPr>
      <w:spacing w:after="100"/>
      <w:ind w:left="220"/>
    </w:pPr>
  </w:style>
  <w:style w:type="character" w:styleId="Hperlink">
    <w:name w:val="Hyperlink"/>
    <w:basedOn w:val="Liguvaikefont"/>
    <w:uiPriority w:val="99"/>
    <w:unhideWhenUsed/>
    <w:rsid w:val="0084604D"/>
    <w:rPr>
      <w:color w:val="0563C1" w:themeColor="hyperlink"/>
      <w:u w:val="single"/>
    </w:rPr>
  </w:style>
  <w:style w:type="paragraph" w:styleId="Allmrkusetekst">
    <w:name w:val="footnote text"/>
    <w:basedOn w:val="Normaallaad"/>
    <w:link w:val="AllmrkusetekstMrk"/>
    <w:uiPriority w:val="99"/>
    <w:semiHidden/>
    <w:unhideWhenUsed/>
    <w:rsid w:val="0007050E"/>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7050E"/>
    <w:rPr>
      <w:sz w:val="20"/>
      <w:szCs w:val="20"/>
    </w:rPr>
  </w:style>
  <w:style w:type="character" w:styleId="Allmrkuseviide">
    <w:name w:val="footnote reference"/>
    <w:basedOn w:val="Liguvaikefont"/>
    <w:uiPriority w:val="99"/>
    <w:semiHidden/>
    <w:unhideWhenUsed/>
    <w:rsid w:val="0007050E"/>
    <w:rPr>
      <w:vertAlign w:val="superscript"/>
    </w:rPr>
  </w:style>
  <w:style w:type="paragraph" w:customStyle="1" w:styleId="Tabelid">
    <w:name w:val="Tabelid"/>
    <w:basedOn w:val="Normaallaad"/>
    <w:link w:val="TabelidChar"/>
    <w:qFormat/>
    <w:rsid w:val="00E60942"/>
    <w:pPr>
      <w:spacing w:after="0"/>
    </w:pPr>
    <w:rPr>
      <w:rFonts w:ascii="Segoe UI Light" w:hAnsi="Segoe UI Light" w:cs="Segoe UI Light"/>
      <w:kern w:val="2"/>
      <w:sz w:val="18"/>
      <w:szCs w:val="18"/>
      <w:lang w:eastAsia="et-EE"/>
      <w14:ligatures w14:val="standardContextual"/>
    </w:rPr>
  </w:style>
  <w:style w:type="character" w:customStyle="1" w:styleId="TabelidChar">
    <w:name w:val="Tabelid Char"/>
    <w:basedOn w:val="Liguvaikefont"/>
    <w:link w:val="Tabelid"/>
    <w:rsid w:val="00E60942"/>
    <w:rPr>
      <w:rFonts w:ascii="Segoe UI Light" w:hAnsi="Segoe UI Light" w:cs="Segoe UI Light"/>
      <w:kern w:val="2"/>
      <w:sz w:val="18"/>
      <w:szCs w:val="18"/>
      <w:lang w:eastAsia="et-EE"/>
      <w14:ligatures w14:val="standardContextual"/>
    </w:rPr>
  </w:style>
  <w:style w:type="table" w:styleId="Peentabel1">
    <w:name w:val="Table Subtle 1"/>
    <w:basedOn w:val="Normaaltabel"/>
    <w:uiPriority w:val="99"/>
    <w:rsid w:val="00E60942"/>
    <w:pPr>
      <w:spacing w:after="120" w:line="240" w:lineRule="auto"/>
      <w:jc w:val="both"/>
    </w:pPr>
    <w:rPr>
      <w:rFonts w:ascii="Roboto Condensed" w:hAnsi="Roboto Condensed"/>
    </w:rPr>
    <w:tblPr>
      <w:tblStyleRowBandSize w:val="1"/>
    </w:tblPr>
    <w:tcPr>
      <w:shd w:val="clear" w:color="auto" w:fill="auto"/>
    </w:tcPr>
    <w:tblStylePr w:type="firstRow">
      <w:rPr>
        <w:rFonts w:ascii="Roboto Condensed" w:hAnsi="Roboto Condensed"/>
        <w:b/>
        <w:sz w:val="22"/>
      </w:rPr>
      <w:tblPr/>
      <w:tcPr>
        <w:tcBorders>
          <w:top w:val="single" w:sz="6" w:space="0" w:color="000000"/>
          <w:bottom w:val="single" w:sz="12" w:space="0" w:color="000000"/>
          <w:tl2br w:val="none" w:sz="0" w:space="0" w:color="auto"/>
          <w:tr2bl w:val="none" w:sz="0" w:space="0" w:color="auto"/>
        </w:tcBorders>
      </w:tcPr>
    </w:tblStylePr>
    <w:tblStylePr w:type="lastRow">
      <w:rPr>
        <w:rFonts w:ascii="Roboto Condensed" w:hAnsi="Roboto Condensed"/>
        <w:b/>
        <w:sz w:val="22"/>
      </w:rPr>
      <w:tblPr/>
      <w:tcPr>
        <w:shd w:val="clear" w:color="auto" w:fill="D9D9D6"/>
      </w:tcPr>
    </w:tblStylePr>
    <w:tblStylePr w:type="firstCol">
      <w:rPr>
        <w:rFonts w:ascii="Roboto Condensed" w:hAnsi="Roboto Condensed"/>
        <w:b/>
        <w:sz w:val="22"/>
      </w:rPr>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shd w:val="clear" w:color="auto" w:fill="D9D9D6"/>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K3">
    <w:name w:val="toc 3"/>
    <w:basedOn w:val="Normaallaad"/>
    <w:next w:val="Normaallaad"/>
    <w:autoRedefine/>
    <w:uiPriority w:val="39"/>
    <w:unhideWhenUsed/>
    <w:rsid w:val="007A0B58"/>
    <w:pPr>
      <w:spacing w:after="100"/>
      <w:ind w:left="440"/>
    </w:pPr>
    <w:rPr>
      <w:rFonts w:eastAsiaTheme="minorEastAsia" w:cs="Times New Roman"/>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30287">
      <w:bodyDiv w:val="1"/>
      <w:marLeft w:val="0"/>
      <w:marRight w:val="0"/>
      <w:marTop w:val="0"/>
      <w:marBottom w:val="0"/>
      <w:divBdr>
        <w:top w:val="none" w:sz="0" w:space="0" w:color="auto"/>
        <w:left w:val="none" w:sz="0" w:space="0" w:color="auto"/>
        <w:bottom w:val="none" w:sz="0" w:space="0" w:color="auto"/>
        <w:right w:val="none" w:sz="0" w:space="0" w:color="auto"/>
      </w:divBdr>
    </w:div>
    <w:div w:id="872035688">
      <w:bodyDiv w:val="1"/>
      <w:marLeft w:val="0"/>
      <w:marRight w:val="0"/>
      <w:marTop w:val="0"/>
      <w:marBottom w:val="0"/>
      <w:divBdr>
        <w:top w:val="none" w:sz="0" w:space="0" w:color="auto"/>
        <w:left w:val="none" w:sz="0" w:space="0" w:color="auto"/>
        <w:bottom w:val="none" w:sz="0" w:space="0" w:color="auto"/>
        <w:right w:val="none" w:sz="0" w:space="0" w:color="auto"/>
      </w:divBdr>
    </w:div>
    <w:div w:id="957030355">
      <w:bodyDiv w:val="1"/>
      <w:marLeft w:val="0"/>
      <w:marRight w:val="0"/>
      <w:marTop w:val="0"/>
      <w:marBottom w:val="0"/>
      <w:divBdr>
        <w:top w:val="none" w:sz="0" w:space="0" w:color="auto"/>
        <w:left w:val="none" w:sz="0" w:space="0" w:color="auto"/>
        <w:bottom w:val="none" w:sz="0" w:space="0" w:color="auto"/>
        <w:right w:val="none" w:sz="0" w:space="0" w:color="auto"/>
      </w:divBdr>
    </w:div>
    <w:div w:id="1065450200">
      <w:bodyDiv w:val="1"/>
      <w:marLeft w:val="0"/>
      <w:marRight w:val="0"/>
      <w:marTop w:val="0"/>
      <w:marBottom w:val="0"/>
      <w:divBdr>
        <w:top w:val="none" w:sz="0" w:space="0" w:color="auto"/>
        <w:left w:val="none" w:sz="0" w:space="0" w:color="auto"/>
        <w:bottom w:val="none" w:sz="0" w:space="0" w:color="auto"/>
        <w:right w:val="none" w:sz="0" w:space="0" w:color="auto"/>
      </w:divBdr>
    </w:div>
    <w:div w:id="1169826894">
      <w:bodyDiv w:val="1"/>
      <w:marLeft w:val="0"/>
      <w:marRight w:val="0"/>
      <w:marTop w:val="0"/>
      <w:marBottom w:val="0"/>
      <w:divBdr>
        <w:top w:val="none" w:sz="0" w:space="0" w:color="auto"/>
        <w:left w:val="none" w:sz="0" w:space="0" w:color="auto"/>
        <w:bottom w:val="none" w:sz="0" w:space="0" w:color="auto"/>
        <w:right w:val="none" w:sz="0" w:space="0" w:color="auto"/>
      </w:divBdr>
    </w:div>
    <w:div w:id="15560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5F8B9-7C12-412E-B97A-13A1E67E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5014</TotalTime>
  <Pages>18</Pages>
  <Words>3321</Words>
  <Characters>19267</Characters>
  <Application>Microsoft Office Word</Application>
  <DocSecurity>0</DocSecurity>
  <Lines>160</Lines>
  <Paragraphs>45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Kaljurand</dc:creator>
  <cp:keywords/>
  <dc:description/>
  <cp:lastModifiedBy>Elle Kaljurand</cp:lastModifiedBy>
  <cp:revision>909</cp:revision>
  <dcterms:created xsi:type="dcterms:W3CDTF">2022-09-02T10:49:00Z</dcterms:created>
  <dcterms:modified xsi:type="dcterms:W3CDTF">2024-08-05T13:31:00Z</dcterms:modified>
</cp:coreProperties>
</file>