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2140" w14:textId="77777777" w:rsidR="0019485C" w:rsidRDefault="004E5130">
      <w:pPr>
        <w:pStyle w:val="Heading1"/>
        <w:jc w:val="center"/>
        <w:rPr>
          <w:rFonts w:ascii="Syne" w:eastAsia="Syne" w:hAnsi="Syne" w:cs="Syne"/>
        </w:rPr>
      </w:pPr>
      <w:r>
        <w:rPr>
          <w:rFonts w:ascii="Syne" w:eastAsia="Syne" w:hAnsi="Syne" w:cs="Syne"/>
        </w:rPr>
        <w:t>Lõuna-Eesti kogukonnaprogramm</w:t>
      </w:r>
    </w:p>
    <w:p w14:paraId="0B985B5C" w14:textId="10984EC6" w:rsidR="0019485C" w:rsidRDefault="004E5130">
      <w:pPr>
        <w:spacing w:after="0"/>
        <w:jc w:val="center"/>
        <w:rPr>
          <w:rFonts w:ascii="Syne" w:eastAsia="Syne" w:hAnsi="Syne" w:cs="Syne"/>
          <w:sz w:val="32"/>
          <w:szCs w:val="32"/>
        </w:rPr>
      </w:pPr>
      <w:r>
        <w:rPr>
          <w:rFonts w:ascii="Syne" w:eastAsia="Syne" w:hAnsi="Syne" w:cs="Syne"/>
          <w:sz w:val="32"/>
          <w:szCs w:val="32"/>
        </w:rPr>
        <w:t xml:space="preserve">Taotlemistingimused </w:t>
      </w:r>
    </w:p>
    <w:p w14:paraId="6EF59A5B" w14:textId="77777777" w:rsidR="0019485C" w:rsidRDefault="0019485C">
      <w:pPr>
        <w:spacing w:after="0" w:line="240" w:lineRule="auto"/>
        <w:rPr>
          <w:rFonts w:ascii="Montserrat" w:eastAsia="Montserrat" w:hAnsi="Montserrat" w:cs="Montserrat"/>
          <w:color w:val="4B4B4B"/>
          <w:highlight w:val="white"/>
        </w:rPr>
      </w:pPr>
    </w:p>
    <w:p w14:paraId="5F2F8F44" w14:textId="77777777" w:rsidR="0019485C" w:rsidRDefault="004E5130">
      <w:pPr>
        <w:spacing w:after="0" w:line="240" w:lineRule="auto"/>
        <w:rPr>
          <w:rFonts w:ascii="Montserrat" w:eastAsia="Montserrat" w:hAnsi="Montserrat" w:cs="Montserrat"/>
          <w:sz w:val="24"/>
          <w:szCs w:val="24"/>
        </w:rPr>
      </w:pPr>
      <w:r>
        <w:rPr>
          <w:rFonts w:ascii="Montserrat" w:eastAsia="Montserrat" w:hAnsi="Montserrat" w:cs="Montserrat"/>
          <w:color w:val="4B4B4B"/>
          <w:sz w:val="24"/>
          <w:szCs w:val="24"/>
          <w:highlight w:val="white"/>
        </w:rPr>
        <w:t xml:space="preserve">Lõuna-Eesti kogukonnaprogramm kuulub Euroopa kultuuripealinn </w:t>
      </w:r>
      <w:hyperlink r:id="rId8">
        <w:r>
          <w:rPr>
            <w:rFonts w:ascii="Montserrat" w:eastAsia="Montserrat" w:hAnsi="Montserrat" w:cs="Montserrat"/>
            <w:color w:val="0563C1"/>
            <w:sz w:val="24"/>
            <w:szCs w:val="24"/>
            <w:highlight w:val="white"/>
            <w:u w:val="single"/>
          </w:rPr>
          <w:t>Tartu 2024</w:t>
        </w:r>
      </w:hyperlink>
      <w:r>
        <w:rPr>
          <w:rFonts w:ascii="Montserrat" w:eastAsia="Montserrat" w:hAnsi="Montserrat" w:cs="Montserrat"/>
          <w:color w:val="4B4B4B"/>
          <w:sz w:val="24"/>
          <w:szCs w:val="24"/>
          <w:highlight w:val="white"/>
        </w:rPr>
        <w:t xml:space="preserve"> ametlikku põhiprogrammi ja selle tegevusi koordineerivad Lõuna-Eesti LEADER tegevusgrupid. </w:t>
      </w:r>
    </w:p>
    <w:p w14:paraId="3E98076F" w14:textId="77777777" w:rsidR="0019485C" w:rsidRDefault="004E5130">
      <w:pPr>
        <w:pStyle w:val="Heading1"/>
        <w:rPr>
          <w:rFonts w:ascii="Montserrat" w:eastAsia="Montserrat" w:hAnsi="Montserrat" w:cs="Montserrat"/>
          <w:sz w:val="24"/>
          <w:szCs w:val="24"/>
        </w:rPr>
      </w:pPr>
      <w:r>
        <w:rPr>
          <w:rFonts w:ascii="Montserrat" w:eastAsia="Montserrat" w:hAnsi="Montserrat" w:cs="Montserrat"/>
          <w:sz w:val="24"/>
          <w:szCs w:val="24"/>
        </w:rPr>
        <w:t>PROGRAMMI EESMÄRGID</w:t>
      </w:r>
    </w:p>
    <w:p w14:paraId="6961FE18" w14:textId="04B9C6EE" w:rsidR="0019485C" w:rsidRPr="008416BE" w:rsidRDefault="004E5130">
      <w:pPr>
        <w:jc w:val="both"/>
        <w:rPr>
          <w:rFonts w:ascii="Montserrat" w:eastAsia="Times New Roman" w:hAnsi="Montserrat" w:cs="Times New Roman"/>
          <w:sz w:val="24"/>
          <w:szCs w:val="24"/>
          <w:lang w:val="en-EE"/>
        </w:rPr>
      </w:pPr>
      <w:r w:rsidRPr="008416BE">
        <w:rPr>
          <w:rFonts w:ascii="Montserrat" w:eastAsia="Montserrat" w:hAnsi="Montserrat" w:cs="Montserrat"/>
          <w:color w:val="000000" w:themeColor="text1"/>
          <w:sz w:val="24"/>
          <w:szCs w:val="24"/>
        </w:rPr>
        <w:t xml:space="preserve">Kogukonnasündmuste programmi </w:t>
      </w:r>
      <w:proofErr w:type="spellStart"/>
      <w:r w:rsidRPr="008416BE">
        <w:rPr>
          <w:rFonts w:ascii="Montserrat" w:eastAsia="Montserrat" w:hAnsi="Montserrat" w:cs="Montserrat"/>
          <w:color w:val="000000" w:themeColor="text1"/>
          <w:sz w:val="24"/>
          <w:szCs w:val="24"/>
        </w:rPr>
        <w:t>üldeesmärk</w:t>
      </w:r>
      <w:proofErr w:type="spellEnd"/>
      <w:r w:rsidRPr="008416BE">
        <w:rPr>
          <w:rFonts w:ascii="Montserrat" w:eastAsia="Montserrat" w:hAnsi="Montserrat" w:cs="Montserrat"/>
          <w:color w:val="000000" w:themeColor="text1"/>
          <w:sz w:val="24"/>
          <w:szCs w:val="24"/>
        </w:rPr>
        <w:t xml:space="preserve"> on kogukondade poolt läbiviidavate sündmuste abil tutvustada </w:t>
      </w:r>
      <w:r w:rsidRPr="008416BE">
        <w:rPr>
          <w:rFonts w:ascii="Montserrat" w:eastAsia="Montserrat" w:hAnsi="Montserrat" w:cs="Montserrat"/>
          <w:b/>
          <w:color w:val="000000" w:themeColor="text1"/>
          <w:sz w:val="24"/>
          <w:szCs w:val="24"/>
        </w:rPr>
        <w:t>Lõuna-Eesti kultuuripärandit ja loodust</w:t>
      </w:r>
      <w:r w:rsidRPr="008416BE">
        <w:rPr>
          <w:rFonts w:ascii="Montserrat" w:eastAsia="Montserrat" w:hAnsi="Montserrat" w:cs="Montserrat"/>
          <w:color w:val="000000" w:themeColor="text1"/>
          <w:sz w:val="24"/>
          <w:szCs w:val="24"/>
        </w:rPr>
        <w:t>, kutsudes osalema külastajaid nii Eestist kui Euroopast.</w:t>
      </w:r>
      <w:r w:rsidR="008416BE" w:rsidRPr="008416BE">
        <w:rPr>
          <w:rFonts w:ascii="Montserrat" w:eastAsia="Montserrat" w:hAnsi="Montserrat" w:cs="Montserrat"/>
          <w:color w:val="000000" w:themeColor="text1"/>
          <w:sz w:val="24"/>
          <w:szCs w:val="24"/>
        </w:rPr>
        <w:t xml:space="preserve"> </w:t>
      </w:r>
      <w:r w:rsidR="008416BE" w:rsidRPr="008416BE">
        <w:rPr>
          <w:rFonts w:ascii="Montserrat" w:eastAsia="Times New Roman" w:hAnsi="Montserrat" w:cs="Times New Roman"/>
          <w:color w:val="000000"/>
          <w:sz w:val="24"/>
          <w:szCs w:val="24"/>
        </w:rPr>
        <w:t>Planeeritava</w:t>
      </w:r>
      <w:r w:rsidR="008416BE">
        <w:rPr>
          <w:rFonts w:ascii="Montserrat" w:eastAsia="Times New Roman" w:hAnsi="Montserrat" w:cs="Times New Roman"/>
          <w:color w:val="000000"/>
          <w:sz w:val="24"/>
          <w:szCs w:val="24"/>
        </w:rPr>
        <w:t>ks</w:t>
      </w:r>
      <w:r w:rsidR="008416BE" w:rsidRPr="008416BE">
        <w:rPr>
          <w:rFonts w:ascii="Montserrat" w:eastAsia="Times New Roman" w:hAnsi="Montserrat" w:cs="Times New Roman"/>
          <w:color w:val="000000"/>
          <w:sz w:val="24"/>
          <w:szCs w:val="24"/>
        </w:rPr>
        <w:t xml:space="preserve"> s</w:t>
      </w:r>
      <w:r w:rsidR="008416BE" w:rsidRPr="008416BE">
        <w:rPr>
          <w:rFonts w:ascii="Montserrat" w:eastAsia="Times New Roman" w:hAnsi="Montserrat" w:cs="Times New Roman"/>
          <w:color w:val="000000"/>
          <w:sz w:val="24"/>
          <w:szCs w:val="24"/>
          <w:lang w:val="en-EE"/>
        </w:rPr>
        <w:t>ündmus</w:t>
      </w:r>
      <w:r w:rsidR="008416BE" w:rsidRPr="008416BE">
        <w:rPr>
          <w:rFonts w:ascii="Montserrat" w:eastAsia="Times New Roman" w:hAnsi="Montserrat" w:cs="Times New Roman"/>
          <w:color w:val="000000"/>
          <w:sz w:val="24"/>
          <w:szCs w:val="24"/>
        </w:rPr>
        <w:t>e</w:t>
      </w:r>
      <w:r w:rsidR="008416BE">
        <w:rPr>
          <w:rFonts w:ascii="Montserrat" w:eastAsia="Times New Roman" w:hAnsi="Montserrat" w:cs="Times New Roman"/>
          <w:color w:val="000000"/>
          <w:sz w:val="24"/>
          <w:szCs w:val="24"/>
        </w:rPr>
        <w:t>ks</w:t>
      </w:r>
      <w:r w:rsidR="008416BE" w:rsidRPr="008416BE">
        <w:rPr>
          <w:rFonts w:ascii="Montserrat" w:eastAsia="Times New Roman" w:hAnsi="Montserrat" w:cs="Times New Roman"/>
          <w:color w:val="000000"/>
          <w:sz w:val="24"/>
          <w:szCs w:val="24"/>
          <w:lang w:val="en-EE"/>
        </w:rPr>
        <w:t xml:space="preserve"> või</w:t>
      </w:r>
      <w:r w:rsidR="008416BE">
        <w:rPr>
          <w:rFonts w:ascii="Montserrat" w:eastAsia="Times New Roman" w:hAnsi="Montserrat" w:cs="Times New Roman"/>
          <w:color w:val="000000"/>
          <w:sz w:val="24"/>
          <w:szCs w:val="24"/>
        </w:rPr>
        <w:t>b</w:t>
      </w:r>
      <w:r w:rsidR="008416BE" w:rsidRPr="008416BE">
        <w:rPr>
          <w:rFonts w:ascii="Montserrat" w:eastAsia="Times New Roman" w:hAnsi="Montserrat" w:cs="Times New Roman"/>
          <w:color w:val="000000"/>
          <w:sz w:val="24"/>
          <w:szCs w:val="24"/>
          <w:lang w:val="en-EE"/>
        </w:rPr>
        <w:t xml:space="preserve"> olla festival, kontser</w:t>
      </w:r>
      <w:r w:rsidR="008416BE" w:rsidRPr="008416BE">
        <w:rPr>
          <w:rFonts w:ascii="Montserrat" w:eastAsia="Times New Roman" w:hAnsi="Montserrat" w:cs="Times New Roman"/>
          <w:color w:val="000000"/>
          <w:sz w:val="24"/>
          <w:szCs w:val="24"/>
        </w:rPr>
        <w:t>t</w:t>
      </w:r>
      <w:r w:rsidR="008416BE" w:rsidRPr="008416BE">
        <w:rPr>
          <w:rFonts w:ascii="Montserrat" w:eastAsia="Times New Roman" w:hAnsi="Montserrat" w:cs="Times New Roman"/>
          <w:color w:val="000000"/>
          <w:sz w:val="24"/>
          <w:szCs w:val="24"/>
          <w:lang w:val="en-EE"/>
        </w:rPr>
        <w:t xml:space="preserve">, </w:t>
      </w:r>
      <w:r w:rsidR="00463444">
        <w:rPr>
          <w:rFonts w:ascii="Montserrat" w:eastAsia="Times New Roman" w:hAnsi="Montserrat" w:cs="Times New Roman"/>
          <w:color w:val="000000"/>
          <w:sz w:val="24"/>
          <w:szCs w:val="24"/>
        </w:rPr>
        <w:t xml:space="preserve">konverents, </w:t>
      </w:r>
      <w:r w:rsidR="008416BE" w:rsidRPr="008416BE">
        <w:rPr>
          <w:rFonts w:ascii="Montserrat" w:eastAsia="Times New Roman" w:hAnsi="Montserrat" w:cs="Times New Roman"/>
          <w:color w:val="000000"/>
          <w:sz w:val="24"/>
          <w:szCs w:val="24"/>
          <w:lang w:val="en-EE"/>
        </w:rPr>
        <w:t>matk, teatrietendu</w:t>
      </w:r>
      <w:r w:rsidR="008416BE" w:rsidRPr="008416BE">
        <w:rPr>
          <w:rFonts w:ascii="Montserrat" w:eastAsia="Times New Roman" w:hAnsi="Montserrat" w:cs="Times New Roman"/>
          <w:color w:val="000000"/>
          <w:sz w:val="24"/>
          <w:szCs w:val="24"/>
        </w:rPr>
        <w:t>s</w:t>
      </w:r>
      <w:r w:rsidR="008416BE" w:rsidRPr="008416BE">
        <w:rPr>
          <w:rFonts w:ascii="Montserrat" w:eastAsia="Times New Roman" w:hAnsi="Montserrat" w:cs="Times New Roman"/>
          <w:color w:val="000000"/>
          <w:sz w:val="24"/>
          <w:szCs w:val="24"/>
          <w:lang w:val="en-EE"/>
        </w:rPr>
        <w:t>, õpit</w:t>
      </w:r>
      <w:r w:rsidR="008416BE">
        <w:rPr>
          <w:rFonts w:ascii="Montserrat" w:eastAsia="Times New Roman" w:hAnsi="Montserrat" w:cs="Times New Roman"/>
          <w:color w:val="000000"/>
          <w:sz w:val="24"/>
          <w:szCs w:val="24"/>
        </w:rPr>
        <w:t>uba</w:t>
      </w:r>
      <w:r w:rsidR="008416BE" w:rsidRPr="008416BE">
        <w:rPr>
          <w:rFonts w:ascii="Montserrat" w:eastAsia="Times New Roman" w:hAnsi="Montserrat" w:cs="Times New Roman"/>
          <w:color w:val="000000"/>
          <w:sz w:val="24"/>
          <w:szCs w:val="24"/>
          <w:lang w:val="en-EE"/>
        </w:rPr>
        <w:t>, näitus, talgupäev, inspireeriv loeng jne. Samuti võib üks sündmus koosneda mitmest erinevast alasündmusest.</w:t>
      </w:r>
    </w:p>
    <w:p w14:paraId="6F5DD793" w14:textId="77777777" w:rsidR="0019485C" w:rsidRPr="007F28B7" w:rsidRDefault="004E5130">
      <w:pPr>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Alaeesmärgid:</w:t>
      </w:r>
    </w:p>
    <w:p w14:paraId="7E242214"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Lõuna-Eesti 16 omavalitsuses on kokku toimunud kuni 24 kogukondade initsiatiivil korraldatud sündmust, mille külastajate arv kokku ulatub vähemalt 25 000 inimeseni.</w:t>
      </w:r>
    </w:p>
    <w:p w14:paraId="4B3C46E3"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Külastajate Lõuna-Eestis viibitud päevade keskmine arv on tõusnud aastaks 2025 võrreldes 2019. a seisuga 25%.</w:t>
      </w:r>
    </w:p>
    <w:p w14:paraId="62784269"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On loodud uued kvaliteetsed sündmused, tooted ja teenused, mis peavad silmas võimalust kogeda kohalikku kultuuri süvitsi ja toetavad nö aeglase turismi trendi. Igas LEADER piirkonnas on kvaliteetsete kohaliku kultuuri süvitsi kogemist pakkuvate teenusepakkujate arv aastaks 2025 kasvanud 50%.</w:t>
      </w:r>
    </w:p>
    <w:p w14:paraId="3A98AF14"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Piirkonna ettevõtlusaktiivsus on suurenenud läbi noorte osaluse. Vähemalt 20-l kogukonnaprogrammi sündmusel on osalenud noored/õpilasfirmad oma toodete ja teenuste pakkumisega.</w:t>
      </w:r>
    </w:p>
    <w:p w14:paraId="0E81728D"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Kogukonnaprogrammi 12-l sündmusel on rahvusvaheline partnerlus.</w:t>
      </w:r>
    </w:p>
    <w:p w14:paraId="17144E5C"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 xml:space="preserve">Kogukonnad on läbinud tugiprogrammi, mille tulemusel on valminud kogukonnaprogrammi sündmused. </w:t>
      </w:r>
    </w:p>
    <w:p w14:paraId="010EEFAD"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Sündmuste ja teenuste kavandamisel, läbiviimisel ja pakkumisel on lähtutud rohelisest mõtteviisist. Kõik korraldatavad sündmused on koostanud ja ellu viinud oma roheplaani.</w:t>
      </w:r>
    </w:p>
    <w:p w14:paraId="350D6191"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Vähemalt 12 sündmust on toimunud koostöös teiste Tartu 2024 sündmustega/projektidega.</w:t>
      </w:r>
    </w:p>
    <w:p w14:paraId="5D64C779"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lastRenderedPageBreak/>
        <w:t>Sündmuste korraldamisel on Lõuna-Eesti kogukonnad teinud omavahel koostööd, koostöösse on olnud kaasatud vähemalt 2 kogukonda iga sündmuse korral.</w:t>
      </w:r>
    </w:p>
    <w:p w14:paraId="7E456374" w14:textId="77777777" w:rsidR="0019485C" w:rsidRPr="007F28B7" w:rsidRDefault="004E5130">
      <w:pPr>
        <w:numPr>
          <w:ilvl w:val="0"/>
          <w:numId w:val="4"/>
        </w:numPr>
        <w:spacing w:after="120" w:line="276" w:lineRule="auto"/>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Sündmust korraldavate kogukondade eneseteadlikkus, sidusus ja võimekus on suurenenud.</w:t>
      </w:r>
    </w:p>
    <w:p w14:paraId="47055047" w14:textId="77777777" w:rsidR="0019485C" w:rsidRDefault="004E5130">
      <w:pPr>
        <w:pStyle w:val="Heading1"/>
        <w:rPr>
          <w:rFonts w:ascii="Montserrat" w:eastAsia="Montserrat" w:hAnsi="Montserrat" w:cs="Montserrat"/>
          <w:sz w:val="24"/>
          <w:szCs w:val="24"/>
        </w:rPr>
      </w:pPr>
      <w:r>
        <w:rPr>
          <w:rFonts w:ascii="Montserrat" w:eastAsia="Montserrat" w:hAnsi="Montserrat" w:cs="Montserrat"/>
          <w:sz w:val="24"/>
          <w:szCs w:val="24"/>
        </w:rPr>
        <w:t>TAOTLEJA</w:t>
      </w:r>
    </w:p>
    <w:p w14:paraId="7828C2B2" w14:textId="7127F5CC" w:rsidR="00A76A54" w:rsidRPr="007F28B7" w:rsidRDefault="004E5130" w:rsidP="00A76A54">
      <w:pPr>
        <w:pBdr>
          <w:top w:val="nil"/>
          <w:left w:val="nil"/>
          <w:bottom w:val="nil"/>
          <w:right w:val="nil"/>
          <w:between w:val="nil"/>
        </w:pBdr>
        <w:spacing w:after="120" w:line="240" w:lineRule="auto"/>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Taotlema on oodatud mittetulundusühingud, sihtasutused ja kohalikud omavalitsused</w:t>
      </w:r>
      <w:r w:rsidR="00F20E31">
        <w:rPr>
          <w:rFonts w:ascii="Montserrat" w:eastAsia="Montserrat" w:hAnsi="Montserrat" w:cs="Montserrat"/>
          <w:color w:val="000000" w:themeColor="text1"/>
          <w:sz w:val="24"/>
          <w:szCs w:val="24"/>
        </w:rPr>
        <w:t xml:space="preserve"> Tartu vallas.</w:t>
      </w:r>
      <w:r w:rsidRPr="007F28B7">
        <w:rPr>
          <w:rFonts w:ascii="Montserrat" w:eastAsia="Montserrat" w:hAnsi="Montserrat" w:cs="Montserrat"/>
          <w:color w:val="000000" w:themeColor="text1"/>
          <w:sz w:val="24"/>
          <w:szCs w:val="24"/>
        </w:rPr>
        <w:t xml:space="preserve"> </w:t>
      </w:r>
    </w:p>
    <w:p w14:paraId="62A5F4F6" w14:textId="77777777" w:rsidR="0019485C" w:rsidRDefault="004E5130" w:rsidP="00A76A54">
      <w:pPr>
        <w:pBdr>
          <w:top w:val="nil"/>
          <w:left w:val="nil"/>
          <w:bottom w:val="nil"/>
          <w:right w:val="nil"/>
          <w:between w:val="nil"/>
        </w:pBdr>
        <w:spacing w:after="120" w:line="240" w:lineRule="auto"/>
        <w:jc w:val="both"/>
        <w:rPr>
          <w:rFonts w:ascii="Montserrat" w:eastAsia="Montserrat" w:hAnsi="Montserrat" w:cs="Montserrat"/>
          <w:sz w:val="24"/>
          <w:szCs w:val="24"/>
        </w:rPr>
      </w:pPr>
      <w:r>
        <w:rPr>
          <w:rFonts w:ascii="Montserrat" w:eastAsia="Montserrat" w:hAnsi="Montserrat" w:cs="Montserrat"/>
          <w:sz w:val="24"/>
          <w:szCs w:val="24"/>
        </w:rPr>
        <w:t>AJAKAVA</w:t>
      </w:r>
    </w:p>
    <w:tbl>
      <w:tblPr>
        <w:tblStyle w:val="a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536"/>
      </w:tblGrid>
      <w:tr w:rsidR="0019485C" w14:paraId="13F22E80" w14:textId="77777777">
        <w:tc>
          <w:tcPr>
            <w:tcW w:w="3397" w:type="dxa"/>
          </w:tcPr>
          <w:p w14:paraId="13B36E64" w14:textId="0C04F910" w:rsidR="0019485C" w:rsidRDefault="0095660E">
            <w:pPr>
              <w:rPr>
                <w:rFonts w:ascii="Montserrat" w:eastAsia="Montserrat" w:hAnsi="Montserrat" w:cs="Montserrat"/>
                <w:sz w:val="24"/>
                <w:szCs w:val="24"/>
              </w:rPr>
            </w:pPr>
            <w:r>
              <w:rPr>
                <w:rFonts w:ascii="Montserrat" w:eastAsia="Montserrat" w:hAnsi="Montserrat" w:cs="Montserrat"/>
                <w:sz w:val="24"/>
                <w:szCs w:val="24"/>
              </w:rPr>
              <w:t>Kuni 31. märts 2023</w:t>
            </w:r>
          </w:p>
        </w:tc>
        <w:tc>
          <w:tcPr>
            <w:tcW w:w="4536" w:type="dxa"/>
          </w:tcPr>
          <w:p w14:paraId="659EB0D1"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Taotluse esitamine</w:t>
            </w:r>
          </w:p>
        </w:tc>
      </w:tr>
      <w:tr w:rsidR="0019485C" w14:paraId="2AAB391F" w14:textId="77777777">
        <w:tc>
          <w:tcPr>
            <w:tcW w:w="3397" w:type="dxa"/>
          </w:tcPr>
          <w:p w14:paraId="4CEE9F8B" w14:textId="35D386DF" w:rsidR="0019485C" w:rsidRDefault="0095660E">
            <w:pPr>
              <w:rPr>
                <w:rFonts w:ascii="Montserrat" w:eastAsia="Montserrat" w:hAnsi="Montserrat" w:cs="Montserrat"/>
                <w:sz w:val="24"/>
                <w:szCs w:val="24"/>
              </w:rPr>
            </w:pPr>
            <w:r>
              <w:rPr>
                <w:rFonts w:ascii="Montserrat" w:eastAsia="Montserrat" w:hAnsi="Montserrat" w:cs="Montserrat"/>
                <w:sz w:val="24"/>
                <w:szCs w:val="24"/>
              </w:rPr>
              <w:t>Aprill 2023</w:t>
            </w:r>
          </w:p>
        </w:tc>
        <w:tc>
          <w:tcPr>
            <w:tcW w:w="4536" w:type="dxa"/>
          </w:tcPr>
          <w:p w14:paraId="796B766D" w14:textId="0EE9EB5C" w:rsidR="0019485C" w:rsidRDefault="004E5130">
            <w:pPr>
              <w:rPr>
                <w:rFonts w:ascii="Montserrat" w:eastAsia="Montserrat" w:hAnsi="Montserrat" w:cs="Montserrat"/>
                <w:sz w:val="24"/>
                <w:szCs w:val="24"/>
              </w:rPr>
            </w:pPr>
            <w:r>
              <w:rPr>
                <w:rFonts w:ascii="Montserrat" w:eastAsia="Montserrat" w:hAnsi="Montserrat" w:cs="Montserrat"/>
                <w:sz w:val="24"/>
                <w:szCs w:val="24"/>
              </w:rPr>
              <w:t>Sündmu</w:t>
            </w:r>
            <w:r w:rsidR="0095660E">
              <w:rPr>
                <w:rFonts w:ascii="Montserrat" w:eastAsia="Montserrat" w:hAnsi="Montserrat" w:cs="Montserrat"/>
                <w:sz w:val="24"/>
                <w:szCs w:val="24"/>
              </w:rPr>
              <w:t>se valik</w:t>
            </w:r>
          </w:p>
        </w:tc>
      </w:tr>
      <w:tr w:rsidR="0019485C" w14:paraId="00AB78C9" w14:textId="77777777">
        <w:tc>
          <w:tcPr>
            <w:tcW w:w="3397" w:type="dxa"/>
          </w:tcPr>
          <w:p w14:paraId="05BB281E" w14:textId="4A7F4E93" w:rsidR="0019485C" w:rsidRDefault="004E5130">
            <w:pPr>
              <w:rPr>
                <w:rFonts w:ascii="Montserrat" w:eastAsia="Montserrat" w:hAnsi="Montserrat" w:cs="Montserrat"/>
                <w:sz w:val="24"/>
                <w:szCs w:val="24"/>
              </w:rPr>
            </w:pPr>
            <w:r>
              <w:rPr>
                <w:rFonts w:ascii="Montserrat" w:eastAsia="Montserrat" w:hAnsi="Montserrat" w:cs="Montserrat"/>
                <w:sz w:val="24"/>
                <w:szCs w:val="24"/>
              </w:rPr>
              <w:t xml:space="preserve">Alates </w:t>
            </w:r>
            <w:r w:rsidR="00F20E31">
              <w:rPr>
                <w:rFonts w:ascii="Montserrat" w:eastAsia="Montserrat" w:hAnsi="Montserrat" w:cs="Montserrat"/>
                <w:sz w:val="24"/>
                <w:szCs w:val="24"/>
              </w:rPr>
              <w:t xml:space="preserve">mai </w:t>
            </w:r>
            <w:r w:rsidR="0095660E">
              <w:rPr>
                <w:rFonts w:ascii="Montserrat" w:eastAsia="Montserrat" w:hAnsi="Montserrat" w:cs="Montserrat"/>
                <w:sz w:val="24"/>
                <w:szCs w:val="24"/>
              </w:rPr>
              <w:t>2023</w:t>
            </w:r>
          </w:p>
        </w:tc>
        <w:tc>
          <w:tcPr>
            <w:tcW w:w="4536" w:type="dxa"/>
          </w:tcPr>
          <w:p w14:paraId="77FEAFCE"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Valitud sündmuste ettevalmistus, tugiprogramm</w:t>
            </w:r>
          </w:p>
        </w:tc>
      </w:tr>
      <w:tr w:rsidR="0019485C" w14:paraId="57F6ED66" w14:textId="77777777">
        <w:tc>
          <w:tcPr>
            <w:tcW w:w="3397" w:type="dxa"/>
          </w:tcPr>
          <w:p w14:paraId="4D456FBD"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Aprill 2023 – detsember 2024</w:t>
            </w:r>
          </w:p>
        </w:tc>
        <w:tc>
          <w:tcPr>
            <w:tcW w:w="4536" w:type="dxa"/>
          </w:tcPr>
          <w:p w14:paraId="7BDC92C1"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Kogukonnasündmuste elluviimine</w:t>
            </w:r>
          </w:p>
        </w:tc>
      </w:tr>
    </w:tbl>
    <w:p w14:paraId="36FE427D" w14:textId="77777777" w:rsidR="0019485C" w:rsidRDefault="004E5130">
      <w:pPr>
        <w:pStyle w:val="Heading1"/>
        <w:rPr>
          <w:rFonts w:ascii="Montserrat" w:eastAsia="Montserrat" w:hAnsi="Montserrat" w:cs="Montserrat"/>
          <w:sz w:val="24"/>
          <w:szCs w:val="24"/>
        </w:rPr>
      </w:pPr>
      <w:r>
        <w:rPr>
          <w:rFonts w:ascii="Montserrat" w:eastAsia="Montserrat" w:hAnsi="Montserrat" w:cs="Montserrat"/>
          <w:sz w:val="24"/>
          <w:szCs w:val="24"/>
        </w:rPr>
        <w:t>RAHASTAMINE ja TOETATAVAD KULUD</w:t>
      </w:r>
    </w:p>
    <w:p w14:paraId="5349867B" w14:textId="046DE184" w:rsidR="0019485C" w:rsidRPr="007F28B7" w:rsidRDefault="004E5130">
      <w:pPr>
        <w:spacing w:after="120"/>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Toetust sündmuse läbiviimiseks anna</w:t>
      </w:r>
      <w:r w:rsidR="0095660E">
        <w:rPr>
          <w:rFonts w:ascii="Montserrat" w:eastAsia="Montserrat" w:hAnsi="Montserrat" w:cs="Montserrat"/>
          <w:color w:val="000000" w:themeColor="text1"/>
          <w:sz w:val="24"/>
          <w:szCs w:val="24"/>
        </w:rPr>
        <w:t>b</w:t>
      </w:r>
      <w:r w:rsidRPr="007F28B7">
        <w:rPr>
          <w:rFonts w:ascii="Montserrat" w:eastAsia="Montserrat" w:hAnsi="Montserrat" w:cs="Montserrat"/>
          <w:color w:val="000000" w:themeColor="text1"/>
          <w:sz w:val="24"/>
          <w:szCs w:val="24"/>
        </w:rPr>
        <w:t xml:space="preserve"> </w:t>
      </w:r>
      <w:r w:rsidR="0095660E">
        <w:rPr>
          <w:rFonts w:ascii="Montserrat" w:eastAsia="Montserrat" w:hAnsi="Montserrat" w:cs="Montserrat"/>
          <w:color w:val="000000" w:themeColor="text1"/>
          <w:sz w:val="24"/>
          <w:szCs w:val="24"/>
        </w:rPr>
        <w:t>Tartumaa Arendusselts</w:t>
      </w:r>
      <w:r w:rsidRPr="007F28B7">
        <w:rPr>
          <w:rFonts w:ascii="Montserrat" w:eastAsia="Montserrat" w:hAnsi="Montserrat" w:cs="Montserrat"/>
          <w:color w:val="000000" w:themeColor="text1"/>
          <w:sz w:val="24"/>
          <w:szCs w:val="24"/>
        </w:rPr>
        <w:t xml:space="preserve"> LEADER meetmest ning SA Tartu 2024 toetusest. </w:t>
      </w:r>
      <w:r w:rsidR="0095660E">
        <w:rPr>
          <w:rFonts w:ascii="Montserrat" w:eastAsia="Montserrat" w:hAnsi="Montserrat" w:cs="Montserrat"/>
          <w:color w:val="000000" w:themeColor="text1"/>
          <w:sz w:val="24"/>
          <w:szCs w:val="24"/>
        </w:rPr>
        <w:t>Tartumaa Arendusselts</w:t>
      </w:r>
      <w:r w:rsidRPr="007F28B7">
        <w:rPr>
          <w:rFonts w:ascii="Montserrat" w:eastAsia="Montserrat" w:hAnsi="Montserrat" w:cs="Montserrat"/>
          <w:color w:val="000000" w:themeColor="text1"/>
          <w:sz w:val="24"/>
          <w:szCs w:val="24"/>
        </w:rPr>
        <w:t xml:space="preserve"> sõlmib lepingu toetust saava sündmuse korraldajaga.</w:t>
      </w:r>
    </w:p>
    <w:p w14:paraId="46B90B0E" w14:textId="77777777" w:rsidR="0019485C" w:rsidRPr="007F28B7" w:rsidRDefault="004E5130">
      <w:pPr>
        <w:spacing w:after="120" w:line="240" w:lineRule="auto"/>
        <w:jc w:val="both"/>
        <w:rPr>
          <w:rFonts w:ascii="Montserrat" w:eastAsia="Montserrat" w:hAnsi="Montserrat" w:cs="Montserrat"/>
          <w:color w:val="000000" w:themeColor="text1"/>
          <w:sz w:val="24"/>
          <w:szCs w:val="24"/>
          <w:highlight w:val="white"/>
        </w:rPr>
      </w:pPr>
      <w:r w:rsidRPr="007F28B7">
        <w:rPr>
          <w:rFonts w:ascii="Montserrat" w:eastAsia="Montserrat" w:hAnsi="Montserrat" w:cs="Montserrat"/>
          <w:color w:val="000000" w:themeColor="text1"/>
          <w:sz w:val="24"/>
          <w:szCs w:val="24"/>
          <w:highlight w:val="white"/>
        </w:rPr>
        <w:t xml:space="preserve">Toetatakse sündmuste ettevalmistamise ja korraldamisega seotud otseseid kulusid, nt tehnika, varustuse, ruumide ja maa-ala rendiga seotud kulud, korraldusteenuse ja esinejate tasud, turvateenuse, meditsiiniabi, parkimisteenuse ja erivajadustega inimestele ligipääsetavuse tagamise kulud, keskkonnahoidliku sündmuse korraldamiseks tehtavad kulud, sündmuse turunduskulud, projektijuhtimine jms. </w:t>
      </w:r>
    </w:p>
    <w:p w14:paraId="43E9E0EB" w14:textId="77777777" w:rsidR="0019485C" w:rsidRPr="007F28B7" w:rsidRDefault="004E5130">
      <w:pPr>
        <w:spacing w:after="0" w:line="240" w:lineRule="auto"/>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highlight w:val="white"/>
        </w:rPr>
        <w:t>Ei toetata sularahas tasutud kulusid, kingitusi, toitlustuskulu, ajakirjade ja ajalehtede väljaandmist, üldjuhul investeeringuid hoonetesse ja rajatistesse, v.a juhul, kui investeering on hästi põhjendatud ja vältimatult vajalik sündmuse elluviimiseks ning investeeringut saab sihtotstarbeliselt kasutada vähemalt 5 aastat.</w:t>
      </w:r>
      <w:r w:rsidRPr="007F28B7">
        <w:rPr>
          <w:rFonts w:ascii="Montserrat" w:eastAsia="Montserrat" w:hAnsi="Montserrat" w:cs="Montserrat"/>
          <w:color w:val="000000" w:themeColor="text1"/>
          <w:sz w:val="24"/>
          <w:szCs w:val="24"/>
          <w:highlight w:val="white"/>
          <w:vertAlign w:val="superscript"/>
        </w:rPr>
        <w:footnoteReference w:id="1"/>
      </w:r>
    </w:p>
    <w:p w14:paraId="7E66601F" w14:textId="77777777" w:rsidR="0019485C" w:rsidRPr="007F28B7" w:rsidRDefault="0019485C">
      <w:pPr>
        <w:pBdr>
          <w:top w:val="nil"/>
          <w:left w:val="nil"/>
          <w:bottom w:val="nil"/>
          <w:right w:val="nil"/>
          <w:between w:val="nil"/>
        </w:pBdr>
        <w:spacing w:after="0"/>
        <w:jc w:val="both"/>
        <w:rPr>
          <w:rFonts w:ascii="Montserrat" w:eastAsia="Montserrat" w:hAnsi="Montserrat" w:cs="Montserrat"/>
          <w:color w:val="000000" w:themeColor="text1"/>
          <w:sz w:val="24"/>
          <w:szCs w:val="24"/>
        </w:rPr>
      </w:pPr>
    </w:p>
    <w:p w14:paraId="388293C7" w14:textId="77777777" w:rsidR="0019485C" w:rsidRPr="007F28B7" w:rsidRDefault="004E5130">
      <w:pPr>
        <w:pBdr>
          <w:top w:val="nil"/>
          <w:left w:val="nil"/>
          <w:bottom w:val="nil"/>
          <w:right w:val="nil"/>
          <w:between w:val="nil"/>
        </w:pBdr>
        <w:spacing w:after="0"/>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Taotletav toetus sõltub sellest, kui paljudele osalejatele on sündmus kavandatud.</w:t>
      </w:r>
    </w:p>
    <w:p w14:paraId="046BFF5B" w14:textId="77777777" w:rsidR="0019485C" w:rsidRDefault="0019485C">
      <w:pPr>
        <w:pBdr>
          <w:top w:val="nil"/>
          <w:left w:val="nil"/>
          <w:bottom w:val="nil"/>
          <w:right w:val="nil"/>
          <w:between w:val="nil"/>
        </w:pBdr>
        <w:spacing w:after="0"/>
        <w:jc w:val="both"/>
        <w:rPr>
          <w:rFonts w:ascii="Montserrat" w:eastAsia="Montserrat" w:hAnsi="Montserrat" w:cs="Montserrat"/>
          <w:color w:val="000000"/>
          <w:sz w:val="24"/>
          <w:szCs w:val="24"/>
        </w:rPr>
      </w:pPr>
    </w:p>
    <w:tbl>
      <w:tblPr>
        <w:tblStyle w:val="aa"/>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268"/>
      </w:tblGrid>
      <w:tr w:rsidR="0019485C" w14:paraId="07A4820B" w14:textId="77777777">
        <w:tc>
          <w:tcPr>
            <w:tcW w:w="2263" w:type="dxa"/>
          </w:tcPr>
          <w:p w14:paraId="3E2FF32A" w14:textId="77777777" w:rsidR="0019485C" w:rsidRDefault="004E5130">
            <w:pPr>
              <w:rPr>
                <w:rFonts w:ascii="Montserrat" w:eastAsia="Montserrat" w:hAnsi="Montserrat" w:cs="Montserrat"/>
                <w:b/>
                <w:sz w:val="24"/>
                <w:szCs w:val="24"/>
              </w:rPr>
            </w:pPr>
            <w:r>
              <w:rPr>
                <w:rFonts w:ascii="Montserrat" w:eastAsia="Montserrat" w:hAnsi="Montserrat" w:cs="Montserrat"/>
                <w:b/>
                <w:sz w:val="24"/>
                <w:szCs w:val="24"/>
              </w:rPr>
              <w:t>Sündmuse suurus</w:t>
            </w:r>
          </w:p>
        </w:tc>
        <w:tc>
          <w:tcPr>
            <w:tcW w:w="2127" w:type="dxa"/>
          </w:tcPr>
          <w:p w14:paraId="5090796F" w14:textId="77777777" w:rsidR="0019485C" w:rsidRDefault="004E5130">
            <w:pPr>
              <w:rPr>
                <w:rFonts w:ascii="Montserrat" w:eastAsia="Montserrat" w:hAnsi="Montserrat" w:cs="Montserrat"/>
                <w:b/>
                <w:sz w:val="24"/>
                <w:szCs w:val="24"/>
              </w:rPr>
            </w:pPr>
            <w:r>
              <w:rPr>
                <w:rFonts w:ascii="Montserrat" w:eastAsia="Montserrat" w:hAnsi="Montserrat" w:cs="Montserrat"/>
                <w:b/>
                <w:sz w:val="24"/>
                <w:szCs w:val="24"/>
              </w:rPr>
              <w:t>Osalejate arv</w:t>
            </w:r>
          </w:p>
        </w:tc>
        <w:tc>
          <w:tcPr>
            <w:tcW w:w="2268" w:type="dxa"/>
          </w:tcPr>
          <w:p w14:paraId="518F75BC" w14:textId="77777777" w:rsidR="0019485C" w:rsidRDefault="004E5130">
            <w:pPr>
              <w:rPr>
                <w:rFonts w:ascii="Montserrat" w:eastAsia="Montserrat" w:hAnsi="Montserrat" w:cs="Montserrat"/>
                <w:b/>
                <w:sz w:val="24"/>
                <w:szCs w:val="24"/>
              </w:rPr>
            </w:pPr>
            <w:r>
              <w:rPr>
                <w:rFonts w:ascii="Montserrat" w:eastAsia="Montserrat" w:hAnsi="Montserrat" w:cs="Montserrat"/>
                <w:b/>
                <w:sz w:val="24"/>
                <w:szCs w:val="24"/>
              </w:rPr>
              <w:t>Maksimaalne toetuse summa</w:t>
            </w:r>
          </w:p>
        </w:tc>
      </w:tr>
      <w:tr w:rsidR="0019485C" w14:paraId="0B2C822F" w14:textId="77777777">
        <w:tc>
          <w:tcPr>
            <w:tcW w:w="2263" w:type="dxa"/>
          </w:tcPr>
          <w:p w14:paraId="4D1DA42E"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Suured (kuni 4)</w:t>
            </w:r>
          </w:p>
        </w:tc>
        <w:tc>
          <w:tcPr>
            <w:tcW w:w="2127" w:type="dxa"/>
          </w:tcPr>
          <w:p w14:paraId="05305DCB"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vähemalt 3500</w:t>
            </w:r>
          </w:p>
        </w:tc>
        <w:tc>
          <w:tcPr>
            <w:tcW w:w="2268" w:type="dxa"/>
          </w:tcPr>
          <w:p w14:paraId="2B8AE97F"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kuni 15 000 €</w:t>
            </w:r>
          </w:p>
        </w:tc>
      </w:tr>
      <w:tr w:rsidR="0019485C" w14:paraId="4E073F2F" w14:textId="77777777">
        <w:tc>
          <w:tcPr>
            <w:tcW w:w="2263" w:type="dxa"/>
          </w:tcPr>
          <w:p w14:paraId="458AFEC5"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Keskmised</w:t>
            </w:r>
          </w:p>
        </w:tc>
        <w:tc>
          <w:tcPr>
            <w:tcW w:w="2127" w:type="dxa"/>
          </w:tcPr>
          <w:p w14:paraId="005CA02A"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vähemalt 1700</w:t>
            </w:r>
          </w:p>
        </w:tc>
        <w:tc>
          <w:tcPr>
            <w:tcW w:w="2268" w:type="dxa"/>
          </w:tcPr>
          <w:p w14:paraId="7C792181"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kuni 9000 €</w:t>
            </w:r>
          </w:p>
        </w:tc>
      </w:tr>
      <w:tr w:rsidR="0019485C" w14:paraId="1F279BBA" w14:textId="77777777">
        <w:tc>
          <w:tcPr>
            <w:tcW w:w="2263" w:type="dxa"/>
          </w:tcPr>
          <w:p w14:paraId="070FD6E7"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Väikesed</w:t>
            </w:r>
          </w:p>
        </w:tc>
        <w:tc>
          <w:tcPr>
            <w:tcW w:w="2127" w:type="dxa"/>
          </w:tcPr>
          <w:p w14:paraId="05B413D2"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vähemalt 200</w:t>
            </w:r>
          </w:p>
        </w:tc>
        <w:tc>
          <w:tcPr>
            <w:tcW w:w="2268" w:type="dxa"/>
          </w:tcPr>
          <w:p w14:paraId="6868FFBB"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kuni 4000 €</w:t>
            </w:r>
          </w:p>
        </w:tc>
      </w:tr>
    </w:tbl>
    <w:p w14:paraId="4D8DEC89" w14:textId="77777777" w:rsidR="0019485C" w:rsidRPr="007F28B7" w:rsidRDefault="0019485C">
      <w:pPr>
        <w:pBdr>
          <w:top w:val="nil"/>
          <w:left w:val="nil"/>
          <w:bottom w:val="nil"/>
          <w:right w:val="nil"/>
          <w:between w:val="nil"/>
        </w:pBdr>
        <w:spacing w:after="0"/>
        <w:ind w:left="360"/>
        <w:jc w:val="both"/>
        <w:rPr>
          <w:rFonts w:ascii="Montserrat" w:eastAsia="Montserrat" w:hAnsi="Montserrat" w:cs="Montserrat"/>
          <w:color w:val="000000" w:themeColor="text1"/>
          <w:sz w:val="24"/>
          <w:szCs w:val="24"/>
        </w:rPr>
      </w:pPr>
    </w:p>
    <w:p w14:paraId="58B825ED" w14:textId="77777777" w:rsidR="0019485C" w:rsidRPr="007F28B7" w:rsidRDefault="004E5130">
      <w:pPr>
        <w:numPr>
          <w:ilvl w:val="0"/>
          <w:numId w:val="1"/>
        </w:numPr>
        <w:pBdr>
          <w:top w:val="nil"/>
          <w:left w:val="nil"/>
          <w:bottom w:val="nil"/>
          <w:right w:val="nil"/>
          <w:between w:val="nil"/>
        </w:pBdr>
        <w:spacing w:after="120"/>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Taotleja peab tagama vähemalt 10%-suuruse rahalise omafinantseeringu sündmuse elluviimiseks.</w:t>
      </w:r>
    </w:p>
    <w:p w14:paraId="2B93CCFD" w14:textId="11E9889A" w:rsidR="0019485C" w:rsidRPr="007F28B7" w:rsidRDefault="004E5130">
      <w:pPr>
        <w:numPr>
          <w:ilvl w:val="0"/>
          <w:numId w:val="1"/>
        </w:numPr>
        <w:pBdr>
          <w:top w:val="nil"/>
          <w:left w:val="nil"/>
          <w:bottom w:val="nil"/>
          <w:right w:val="nil"/>
          <w:between w:val="nil"/>
        </w:pBdr>
        <w:spacing w:after="120"/>
        <w:ind w:left="714" w:hanging="357"/>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 xml:space="preserve">Programmi raames toetatakse </w:t>
      </w:r>
      <w:r w:rsidR="0095660E">
        <w:rPr>
          <w:rFonts w:ascii="Montserrat" w:eastAsia="Montserrat" w:hAnsi="Montserrat" w:cs="Montserrat"/>
          <w:color w:val="000000" w:themeColor="text1"/>
          <w:sz w:val="24"/>
          <w:szCs w:val="24"/>
        </w:rPr>
        <w:t>Tartu vallas</w:t>
      </w:r>
      <w:r w:rsidR="00A0649C">
        <w:rPr>
          <w:rFonts w:ascii="Montserrat" w:eastAsia="Montserrat" w:hAnsi="Montserrat" w:cs="Montserrat"/>
          <w:color w:val="000000" w:themeColor="text1"/>
          <w:sz w:val="24"/>
          <w:szCs w:val="24"/>
        </w:rPr>
        <w:t xml:space="preserve"> </w:t>
      </w:r>
      <w:r w:rsidR="0095660E">
        <w:rPr>
          <w:rFonts w:ascii="Montserrat" w:eastAsia="Montserrat" w:hAnsi="Montserrat" w:cs="Montserrat"/>
          <w:color w:val="000000" w:themeColor="text1"/>
          <w:sz w:val="24"/>
          <w:szCs w:val="24"/>
        </w:rPr>
        <w:t>ühe sündmuse korraldamist</w:t>
      </w:r>
      <w:r w:rsidRPr="007F28B7">
        <w:rPr>
          <w:rFonts w:ascii="Montserrat" w:eastAsia="Montserrat" w:hAnsi="Montserrat" w:cs="Montserrat"/>
          <w:color w:val="000000" w:themeColor="text1"/>
          <w:sz w:val="24"/>
          <w:szCs w:val="24"/>
        </w:rPr>
        <w:t>.</w:t>
      </w:r>
    </w:p>
    <w:p w14:paraId="23CBA105" w14:textId="70678D3C" w:rsidR="0019485C" w:rsidRPr="007F28B7" w:rsidRDefault="0095660E">
      <w:pPr>
        <w:numPr>
          <w:ilvl w:val="0"/>
          <w:numId w:val="1"/>
        </w:numPr>
        <w:pBdr>
          <w:top w:val="nil"/>
          <w:left w:val="nil"/>
          <w:bottom w:val="nil"/>
          <w:right w:val="nil"/>
          <w:between w:val="nil"/>
        </w:pBdr>
        <w:spacing w:after="120"/>
        <w:ind w:left="714" w:hanging="357"/>
        <w:jc w:val="both"/>
        <w:rPr>
          <w:rFonts w:ascii="Montserrat" w:eastAsia="Montserrat" w:hAnsi="Montserrat" w:cs="Montserrat"/>
          <w:color w:val="000000" w:themeColor="text1"/>
          <w:sz w:val="24"/>
          <w:szCs w:val="24"/>
        </w:rPr>
      </w:pPr>
      <w:r>
        <w:rPr>
          <w:rFonts w:ascii="Montserrat" w:eastAsia="Montserrat" w:hAnsi="Montserrat" w:cs="Montserrat"/>
          <w:color w:val="000000" w:themeColor="text1"/>
          <w:sz w:val="24"/>
          <w:szCs w:val="24"/>
        </w:rPr>
        <w:t>Tartumaa Arendusselts jätab</w:t>
      </w:r>
      <w:r w:rsidR="004E5130" w:rsidRPr="007F28B7">
        <w:rPr>
          <w:rFonts w:ascii="Montserrat" w:eastAsia="Montserrat" w:hAnsi="Montserrat" w:cs="Montserrat"/>
          <w:color w:val="000000" w:themeColor="text1"/>
          <w:sz w:val="24"/>
          <w:szCs w:val="24"/>
        </w:rPr>
        <w:t xml:space="preserve"> endale õiguse asuda eelarve ja kavandatavate tegevuste osas läbirääkimistele juhul, kui see osutub vajalikuks enne sündmuse lõpliku valiku tegemist.</w:t>
      </w:r>
    </w:p>
    <w:p w14:paraId="55ECF10A" w14:textId="77777777" w:rsidR="0019485C" w:rsidRDefault="004E5130">
      <w:pPr>
        <w:pStyle w:val="Heading1"/>
        <w:rPr>
          <w:rFonts w:ascii="Montserrat" w:eastAsia="Montserrat" w:hAnsi="Montserrat" w:cs="Montserrat"/>
          <w:sz w:val="24"/>
          <w:szCs w:val="24"/>
        </w:rPr>
      </w:pPr>
      <w:r>
        <w:rPr>
          <w:rFonts w:ascii="Montserrat" w:eastAsia="Montserrat" w:hAnsi="Montserrat" w:cs="Montserrat"/>
          <w:sz w:val="24"/>
          <w:szCs w:val="24"/>
        </w:rPr>
        <w:t>TAOTLUSE ESITAMINE</w:t>
      </w:r>
    </w:p>
    <w:p w14:paraId="7DE7FD9F" w14:textId="2A40092F" w:rsidR="0019485C" w:rsidRPr="007F28B7" w:rsidRDefault="004E5130">
      <w:pPr>
        <w:spacing w:after="0"/>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 xml:space="preserve">Programmis osalemiseks ja toetuse taotlemiseks tuleb esitada taotlusvorm koos eelarvega ning teised dokumendid (fotod, joonised, koostöökokkulepped jne), mida taotleja soovib lisada. Taotlus koos lisadokumentidega esitatakse </w:t>
      </w:r>
      <w:r w:rsidR="0095660E">
        <w:rPr>
          <w:rFonts w:ascii="Montserrat" w:eastAsia="Montserrat" w:hAnsi="Montserrat" w:cs="Montserrat"/>
          <w:color w:val="000000" w:themeColor="text1"/>
          <w:sz w:val="24"/>
          <w:szCs w:val="24"/>
        </w:rPr>
        <w:t>kaisa@tas.ee.</w:t>
      </w:r>
    </w:p>
    <w:p w14:paraId="47F9B9AB" w14:textId="77777777" w:rsidR="0019485C" w:rsidRDefault="004E5130">
      <w:pPr>
        <w:pStyle w:val="Heading1"/>
        <w:rPr>
          <w:rFonts w:ascii="Montserrat" w:eastAsia="Montserrat" w:hAnsi="Montserrat" w:cs="Montserrat"/>
          <w:sz w:val="24"/>
          <w:szCs w:val="24"/>
        </w:rPr>
      </w:pPr>
      <w:r>
        <w:rPr>
          <w:rFonts w:ascii="Montserrat" w:eastAsia="Montserrat" w:hAnsi="Montserrat" w:cs="Montserrat"/>
          <w:sz w:val="24"/>
          <w:szCs w:val="24"/>
        </w:rPr>
        <w:t>SÜNDMUSTE VALIK</w:t>
      </w:r>
    </w:p>
    <w:p w14:paraId="5254A72B" w14:textId="0D65038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 xml:space="preserve">Sündmuste hindamine toimub </w:t>
      </w:r>
      <w:r w:rsidR="00A76A54">
        <w:rPr>
          <w:rFonts w:ascii="Montserrat" w:eastAsia="Montserrat" w:hAnsi="Montserrat" w:cs="Montserrat"/>
          <w:color w:val="000000" w:themeColor="text1"/>
          <w:sz w:val="24"/>
          <w:szCs w:val="24"/>
        </w:rPr>
        <w:t>kriteeriumide alusel</w:t>
      </w:r>
      <w:r w:rsidRPr="007F28B7">
        <w:rPr>
          <w:rFonts w:ascii="Montserrat" w:eastAsia="Montserrat" w:hAnsi="Montserrat" w:cs="Montserrat"/>
          <w:color w:val="000000" w:themeColor="text1"/>
          <w:sz w:val="24"/>
          <w:szCs w:val="24"/>
        </w:rPr>
        <w:t>.</w:t>
      </w:r>
    </w:p>
    <w:p w14:paraId="00464152" w14:textId="77777777" w:rsidR="0019485C" w:rsidRDefault="004E5130">
      <w:pPr>
        <w:pStyle w:val="Heading2"/>
        <w:rPr>
          <w:rFonts w:ascii="Montserrat" w:eastAsia="Montserrat" w:hAnsi="Montserrat" w:cs="Montserrat"/>
          <w:sz w:val="24"/>
          <w:szCs w:val="24"/>
        </w:rPr>
      </w:pPr>
      <w:r>
        <w:rPr>
          <w:rFonts w:ascii="Montserrat" w:eastAsia="Montserrat" w:hAnsi="Montserrat" w:cs="Montserrat"/>
          <w:sz w:val="24"/>
          <w:szCs w:val="24"/>
        </w:rPr>
        <w:t>Hindamiskriteeriumid</w:t>
      </w:r>
    </w:p>
    <w:tbl>
      <w:tblPr>
        <w:tblStyle w:val="ab"/>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4678"/>
        <w:gridCol w:w="1276"/>
      </w:tblGrid>
      <w:tr w:rsidR="0019485C" w14:paraId="15846D2C" w14:textId="77777777" w:rsidTr="00CC3AA3">
        <w:tc>
          <w:tcPr>
            <w:tcW w:w="704" w:type="dxa"/>
          </w:tcPr>
          <w:p w14:paraId="2244A129" w14:textId="77777777" w:rsidR="0019485C" w:rsidRDefault="004E5130">
            <w:pPr>
              <w:pBdr>
                <w:top w:val="nil"/>
                <w:left w:val="nil"/>
                <w:bottom w:val="nil"/>
                <w:right w:val="nil"/>
                <w:between w:val="nil"/>
              </w:pBdr>
              <w:ind w:left="170"/>
              <w:rPr>
                <w:rFonts w:ascii="Montserrat" w:eastAsia="Montserrat" w:hAnsi="Montserrat" w:cs="Montserrat"/>
                <w:b/>
                <w:color w:val="000000"/>
                <w:sz w:val="24"/>
                <w:szCs w:val="24"/>
              </w:rPr>
            </w:pPr>
            <w:r>
              <w:rPr>
                <w:rFonts w:ascii="Montserrat" w:eastAsia="Montserrat" w:hAnsi="Montserrat" w:cs="Montserrat"/>
                <w:b/>
                <w:color w:val="000000"/>
                <w:sz w:val="24"/>
                <w:szCs w:val="24"/>
              </w:rPr>
              <w:t>Nr</w:t>
            </w:r>
          </w:p>
        </w:tc>
        <w:tc>
          <w:tcPr>
            <w:tcW w:w="2268" w:type="dxa"/>
          </w:tcPr>
          <w:p w14:paraId="3DE7687B" w14:textId="77777777" w:rsidR="0019485C" w:rsidRDefault="004E5130">
            <w:pPr>
              <w:pBdr>
                <w:top w:val="nil"/>
                <w:left w:val="nil"/>
                <w:bottom w:val="nil"/>
                <w:right w:val="nil"/>
                <w:between w:val="nil"/>
              </w:pBdr>
              <w:spacing w:after="160" w:line="259" w:lineRule="auto"/>
              <w:ind w:left="170"/>
              <w:rPr>
                <w:rFonts w:ascii="Montserrat" w:eastAsia="Montserrat" w:hAnsi="Montserrat" w:cs="Montserrat"/>
                <w:b/>
                <w:color w:val="000000"/>
                <w:sz w:val="24"/>
                <w:szCs w:val="24"/>
              </w:rPr>
            </w:pPr>
            <w:r>
              <w:rPr>
                <w:rFonts w:ascii="Montserrat" w:eastAsia="Montserrat" w:hAnsi="Montserrat" w:cs="Montserrat"/>
                <w:b/>
                <w:color w:val="000000"/>
                <w:sz w:val="24"/>
                <w:szCs w:val="24"/>
              </w:rPr>
              <w:t>Kriteerium</w:t>
            </w:r>
          </w:p>
        </w:tc>
        <w:tc>
          <w:tcPr>
            <w:tcW w:w="4678" w:type="dxa"/>
          </w:tcPr>
          <w:p w14:paraId="719FFC97" w14:textId="77777777" w:rsidR="0019485C" w:rsidRDefault="004E5130">
            <w:pPr>
              <w:rPr>
                <w:rFonts w:ascii="Montserrat" w:eastAsia="Montserrat" w:hAnsi="Montserrat" w:cs="Montserrat"/>
                <w:b/>
                <w:sz w:val="24"/>
                <w:szCs w:val="24"/>
              </w:rPr>
            </w:pPr>
            <w:r>
              <w:rPr>
                <w:rFonts w:ascii="Montserrat" w:eastAsia="Montserrat" w:hAnsi="Montserrat" w:cs="Montserrat"/>
                <w:b/>
                <w:sz w:val="24"/>
                <w:szCs w:val="24"/>
              </w:rPr>
              <w:t>Selgitus</w:t>
            </w:r>
          </w:p>
        </w:tc>
        <w:tc>
          <w:tcPr>
            <w:tcW w:w="1276" w:type="dxa"/>
          </w:tcPr>
          <w:p w14:paraId="21AA18C1" w14:textId="77777777" w:rsidR="0019485C" w:rsidRDefault="004E5130">
            <w:pPr>
              <w:rPr>
                <w:rFonts w:ascii="Montserrat" w:eastAsia="Montserrat" w:hAnsi="Montserrat" w:cs="Montserrat"/>
                <w:b/>
                <w:sz w:val="24"/>
                <w:szCs w:val="24"/>
              </w:rPr>
            </w:pPr>
            <w:r>
              <w:rPr>
                <w:rFonts w:ascii="Montserrat" w:eastAsia="Montserrat" w:hAnsi="Montserrat" w:cs="Montserrat"/>
                <w:b/>
                <w:sz w:val="24"/>
                <w:szCs w:val="24"/>
              </w:rPr>
              <w:t>Osakaal</w:t>
            </w:r>
          </w:p>
        </w:tc>
      </w:tr>
      <w:tr w:rsidR="0019485C" w14:paraId="4BE134DA" w14:textId="77777777" w:rsidTr="00CC3AA3">
        <w:tc>
          <w:tcPr>
            <w:tcW w:w="704" w:type="dxa"/>
          </w:tcPr>
          <w:p w14:paraId="145CE849"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1.</w:t>
            </w:r>
          </w:p>
        </w:tc>
        <w:tc>
          <w:tcPr>
            <w:tcW w:w="2268" w:type="dxa"/>
          </w:tcPr>
          <w:p w14:paraId="4B47EDF1"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Lõuna-Eesti identiteedi, kultuuri- ja looduspärandi toetamine</w:t>
            </w:r>
          </w:p>
        </w:tc>
        <w:tc>
          <w:tcPr>
            <w:tcW w:w="4678" w:type="dxa"/>
          </w:tcPr>
          <w:p w14:paraId="218023F3"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Planeeritav sündmus toob tugevalt esile Lõuna-Eesti väärtused - puhas loodus, mitmekülgne kultuuripärand, kohalik toit ja käsitöö, tervislik elustiil, jätkusuutlikud ja innovaatilised lahendused, aktiivsed kogukonnad.</w:t>
            </w:r>
          </w:p>
        </w:tc>
        <w:tc>
          <w:tcPr>
            <w:tcW w:w="1276" w:type="dxa"/>
          </w:tcPr>
          <w:p w14:paraId="4BEFDC3F"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30%</w:t>
            </w:r>
          </w:p>
        </w:tc>
      </w:tr>
      <w:tr w:rsidR="0019485C" w14:paraId="5B7BAE8A" w14:textId="77777777" w:rsidTr="00CC3AA3">
        <w:tc>
          <w:tcPr>
            <w:tcW w:w="704" w:type="dxa"/>
          </w:tcPr>
          <w:p w14:paraId="19B5727A"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2.</w:t>
            </w:r>
          </w:p>
        </w:tc>
        <w:tc>
          <w:tcPr>
            <w:tcW w:w="2268" w:type="dxa"/>
          </w:tcPr>
          <w:p w14:paraId="60F57FA5"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 xml:space="preserve">Koostöö ja </w:t>
            </w:r>
            <w:proofErr w:type="spellStart"/>
            <w:r>
              <w:rPr>
                <w:rFonts w:ascii="Montserrat" w:eastAsia="Montserrat" w:hAnsi="Montserrat" w:cs="Montserrat"/>
                <w:sz w:val="24"/>
                <w:szCs w:val="24"/>
              </w:rPr>
              <w:t>võrgustumine</w:t>
            </w:r>
            <w:proofErr w:type="spellEnd"/>
          </w:p>
        </w:tc>
        <w:tc>
          <w:tcPr>
            <w:tcW w:w="4678" w:type="dxa"/>
          </w:tcPr>
          <w:p w14:paraId="452EC82A"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 xml:space="preserve">Sündmuse planeerimisse ning elluviimisesse on kaasatud erinevad osapooled ja sektorid. Toimib koostöö erinevate kogukondade/piirkondade vahel sh valdade üleselt ning linna ja maapiirkonna vahel. Kavandatud on terviklik lähenemine sündmustele kui ka olemasolevate ja uute toodete ja teenuste pakkumisele. Kaasatud on erinevad põlvkonnad ja võimalusel erivajadustega inimesed ning rakendust leiavad nende teadmised ja oskused. Sündmustel osalevad noored/õpilasfirmad oma toodete ja teenuste pakkumisega. </w:t>
            </w:r>
          </w:p>
        </w:tc>
        <w:tc>
          <w:tcPr>
            <w:tcW w:w="1276" w:type="dxa"/>
          </w:tcPr>
          <w:p w14:paraId="2EC1CA53"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20%</w:t>
            </w:r>
          </w:p>
        </w:tc>
      </w:tr>
      <w:tr w:rsidR="0019485C" w14:paraId="636199F8" w14:textId="77777777" w:rsidTr="00CC3AA3">
        <w:tc>
          <w:tcPr>
            <w:tcW w:w="704" w:type="dxa"/>
          </w:tcPr>
          <w:p w14:paraId="32E3BC8D"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3.</w:t>
            </w:r>
          </w:p>
        </w:tc>
        <w:tc>
          <w:tcPr>
            <w:tcW w:w="2268" w:type="dxa"/>
          </w:tcPr>
          <w:p w14:paraId="65C52D96" w14:textId="268E9A53" w:rsidR="0019485C" w:rsidRDefault="004E5130">
            <w:pPr>
              <w:rPr>
                <w:rFonts w:ascii="Montserrat" w:eastAsia="Montserrat" w:hAnsi="Montserrat" w:cs="Montserrat"/>
                <w:sz w:val="24"/>
                <w:szCs w:val="24"/>
              </w:rPr>
            </w:pPr>
            <w:r>
              <w:rPr>
                <w:rFonts w:ascii="Montserrat" w:eastAsia="Montserrat" w:hAnsi="Montserrat" w:cs="Montserrat"/>
                <w:sz w:val="24"/>
                <w:szCs w:val="24"/>
              </w:rPr>
              <w:t>Keskkonna</w:t>
            </w:r>
            <w:r w:rsidR="00CC3AA3">
              <w:rPr>
                <w:rFonts w:ascii="Montserrat" w:eastAsia="Montserrat" w:hAnsi="Montserrat" w:cs="Montserrat"/>
                <w:sz w:val="24"/>
                <w:szCs w:val="24"/>
              </w:rPr>
              <w:t>-</w:t>
            </w:r>
            <w:r>
              <w:rPr>
                <w:rFonts w:ascii="Montserrat" w:eastAsia="Montserrat" w:hAnsi="Montserrat" w:cs="Montserrat"/>
                <w:sz w:val="24"/>
                <w:szCs w:val="24"/>
              </w:rPr>
              <w:t>sõbralikkus</w:t>
            </w:r>
          </w:p>
        </w:tc>
        <w:tc>
          <w:tcPr>
            <w:tcW w:w="4678" w:type="dxa"/>
          </w:tcPr>
          <w:p w14:paraId="5872AE74"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 xml:space="preserve">Sündmus viiakse läbi, arvestades Tartu 2024 keskkonnasõbraliku sündmuse juhiseid </w:t>
            </w:r>
            <w:hyperlink r:id="rId9">
              <w:r>
                <w:rPr>
                  <w:rFonts w:ascii="Montserrat" w:eastAsia="Montserrat" w:hAnsi="Montserrat" w:cs="Montserrat"/>
                  <w:color w:val="0563C1"/>
                  <w:sz w:val="24"/>
                  <w:szCs w:val="24"/>
                  <w:u w:val="single"/>
                </w:rPr>
                <w:t>https://tartu2024.ee/ellujaamise-kunstid/keskkonnajuhend</w:t>
              </w:r>
            </w:hyperlink>
            <w:r>
              <w:rPr>
                <w:rFonts w:ascii="Montserrat" w:eastAsia="Montserrat" w:hAnsi="Montserrat" w:cs="Montserrat"/>
                <w:sz w:val="24"/>
                <w:szCs w:val="24"/>
              </w:rPr>
              <w:t xml:space="preserve"> </w:t>
            </w:r>
          </w:p>
        </w:tc>
        <w:tc>
          <w:tcPr>
            <w:tcW w:w="1276" w:type="dxa"/>
          </w:tcPr>
          <w:p w14:paraId="429B859C"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lastRenderedPageBreak/>
              <w:t>10%</w:t>
            </w:r>
          </w:p>
        </w:tc>
      </w:tr>
      <w:tr w:rsidR="0019485C" w14:paraId="2C40C23A" w14:textId="77777777" w:rsidTr="00CC3AA3">
        <w:trPr>
          <w:trHeight w:val="2686"/>
        </w:trPr>
        <w:tc>
          <w:tcPr>
            <w:tcW w:w="704" w:type="dxa"/>
          </w:tcPr>
          <w:p w14:paraId="325CB94E"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4.</w:t>
            </w:r>
          </w:p>
        </w:tc>
        <w:tc>
          <w:tcPr>
            <w:tcW w:w="2268" w:type="dxa"/>
          </w:tcPr>
          <w:p w14:paraId="2A3DA2A1"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Innovatsioon</w:t>
            </w:r>
          </w:p>
        </w:tc>
        <w:tc>
          <w:tcPr>
            <w:tcW w:w="4678" w:type="dxa"/>
          </w:tcPr>
          <w:p w14:paraId="1994C44C"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Sündmus oma olemuselt on uuenduslik või selle läbiviimisel kasutatakse uudseid lahendusi. Innovatsioon võib olla sotsiaalne, digitaalne, tehnoloogiline, uued kaasamis- ja osalemisvormid, uued meetodid ja viisid sündmuse elluviimiseks jne.</w:t>
            </w:r>
          </w:p>
        </w:tc>
        <w:tc>
          <w:tcPr>
            <w:tcW w:w="1276" w:type="dxa"/>
          </w:tcPr>
          <w:p w14:paraId="7B3B47DC"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10%</w:t>
            </w:r>
          </w:p>
        </w:tc>
      </w:tr>
      <w:tr w:rsidR="0019485C" w14:paraId="4634ADFE" w14:textId="77777777" w:rsidTr="00CC3AA3">
        <w:tc>
          <w:tcPr>
            <w:tcW w:w="704" w:type="dxa"/>
          </w:tcPr>
          <w:p w14:paraId="4B67F5EC"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5.</w:t>
            </w:r>
          </w:p>
        </w:tc>
        <w:tc>
          <w:tcPr>
            <w:tcW w:w="2268" w:type="dxa"/>
          </w:tcPr>
          <w:p w14:paraId="6E524A2E"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Rahvusvaheline partnerlus ja/või partnerlus teiste Tartu 2024 sündmustega</w:t>
            </w:r>
          </w:p>
        </w:tc>
        <w:tc>
          <w:tcPr>
            <w:tcW w:w="4678" w:type="dxa"/>
          </w:tcPr>
          <w:p w14:paraId="65F4B2AE"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 xml:space="preserve">Sündmust kavandatakse ning viiakse ellu koostöös rahvusvaheliste partneritega ja/või teiste Tartu 2024 sündmustega. </w:t>
            </w:r>
          </w:p>
        </w:tc>
        <w:tc>
          <w:tcPr>
            <w:tcW w:w="1276" w:type="dxa"/>
          </w:tcPr>
          <w:p w14:paraId="7777B3AB"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10%</w:t>
            </w:r>
          </w:p>
        </w:tc>
      </w:tr>
      <w:tr w:rsidR="0019485C" w14:paraId="5C7FE74C" w14:textId="77777777" w:rsidTr="00CC3AA3">
        <w:tc>
          <w:tcPr>
            <w:tcW w:w="704" w:type="dxa"/>
          </w:tcPr>
          <w:p w14:paraId="6E03C150" w14:textId="77777777" w:rsidR="0019485C" w:rsidRDefault="004E5130">
            <w:pPr>
              <w:rPr>
                <w:rFonts w:ascii="Montserrat" w:eastAsia="Montserrat" w:hAnsi="Montserrat" w:cs="Montserrat"/>
                <w:sz w:val="24"/>
                <w:szCs w:val="24"/>
              </w:rPr>
            </w:pPr>
            <w:r>
              <w:rPr>
                <w:rFonts w:ascii="Montserrat" w:eastAsia="Montserrat" w:hAnsi="Montserrat" w:cs="Montserrat"/>
                <w:sz w:val="24"/>
                <w:szCs w:val="24"/>
              </w:rPr>
              <w:t>6.</w:t>
            </w:r>
          </w:p>
        </w:tc>
        <w:tc>
          <w:tcPr>
            <w:tcW w:w="2268" w:type="dxa"/>
          </w:tcPr>
          <w:p w14:paraId="211C0450"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Sündmuste korraldaja aktiivgrupi võimekus ja oskused, kompetentsid, sh sündmuse eelarve selgus ja teostatavus ning kaasfinantseerimise suutlikkus</w:t>
            </w:r>
          </w:p>
        </w:tc>
        <w:tc>
          <w:tcPr>
            <w:tcW w:w="4678" w:type="dxa"/>
          </w:tcPr>
          <w:p w14:paraId="4ADE3A6B"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Sündmuse korraldajal ning partneritel on varasem kogemus sündmuste korraldamisel. Sündmus on hästi kavandatud, teostatav, eelarve on realistlik, olemas on oma- ja/või kaasfinantseering.</w:t>
            </w:r>
          </w:p>
        </w:tc>
        <w:tc>
          <w:tcPr>
            <w:tcW w:w="1276" w:type="dxa"/>
          </w:tcPr>
          <w:p w14:paraId="4A73EE0B"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20%</w:t>
            </w:r>
          </w:p>
        </w:tc>
      </w:tr>
    </w:tbl>
    <w:p w14:paraId="31D93D81" w14:textId="77777777" w:rsidR="0019485C" w:rsidRPr="007F28B7" w:rsidRDefault="0019485C">
      <w:pPr>
        <w:rPr>
          <w:rFonts w:ascii="Montserrat" w:eastAsia="Montserrat" w:hAnsi="Montserrat" w:cs="Montserrat"/>
          <w:color w:val="000000" w:themeColor="text1"/>
        </w:rPr>
      </w:pPr>
    </w:p>
    <w:p w14:paraId="7619511B" w14:textId="77777777" w:rsidR="0019485C" w:rsidRPr="007F28B7" w:rsidRDefault="004E5130">
      <w:pPr>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 xml:space="preserve">Iga hindaja hindab esitatud sündmusi vastavalt kriteeriumidele skaalal 0-4. </w:t>
      </w:r>
    </w:p>
    <w:p w14:paraId="44497171" w14:textId="77777777" w:rsidR="0019485C" w:rsidRPr="007F28B7" w:rsidRDefault="004E5130">
      <w:pPr>
        <w:spacing w:after="0" w:line="240" w:lineRule="auto"/>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4 punkti – sündmus vastab täielikult kriteeriumile</w:t>
      </w:r>
    </w:p>
    <w:p w14:paraId="5091E6F9" w14:textId="77777777" w:rsidR="0019485C" w:rsidRPr="007F28B7" w:rsidRDefault="004E5130">
      <w:pPr>
        <w:spacing w:after="0" w:line="240" w:lineRule="auto"/>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3 punkti – sündmus vastab suures osas kriteeriumile</w:t>
      </w:r>
    </w:p>
    <w:p w14:paraId="0856C004" w14:textId="77777777" w:rsidR="0019485C" w:rsidRPr="007F28B7" w:rsidRDefault="004E5130">
      <w:pPr>
        <w:spacing w:after="0" w:line="240" w:lineRule="auto"/>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2 punkti – sündmus vastab osaliselt kriteeriumile</w:t>
      </w:r>
    </w:p>
    <w:p w14:paraId="03111FF7" w14:textId="77777777" w:rsidR="0019485C" w:rsidRPr="007F28B7" w:rsidRDefault="004E5130">
      <w:pPr>
        <w:spacing w:after="0" w:line="240" w:lineRule="auto"/>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1 punkt – sündmus vastab vähesel määral kriteeriumile</w:t>
      </w:r>
    </w:p>
    <w:p w14:paraId="4303F749" w14:textId="77777777" w:rsidR="0019485C" w:rsidRPr="007F28B7" w:rsidRDefault="004E5130">
      <w:pPr>
        <w:spacing w:after="0" w:line="240" w:lineRule="auto"/>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0 punkti – sündmus ei vasta kriteeriumile</w:t>
      </w:r>
    </w:p>
    <w:p w14:paraId="0A3279FA" w14:textId="77777777" w:rsidR="0019485C" w:rsidRPr="007F28B7" w:rsidRDefault="0019485C">
      <w:pPr>
        <w:spacing w:after="0" w:line="240" w:lineRule="auto"/>
        <w:jc w:val="both"/>
        <w:rPr>
          <w:rFonts w:ascii="Montserrat" w:eastAsia="Montserrat" w:hAnsi="Montserrat" w:cs="Montserrat"/>
          <w:color w:val="000000" w:themeColor="text1"/>
          <w:sz w:val="24"/>
          <w:szCs w:val="24"/>
        </w:rPr>
      </w:pPr>
    </w:p>
    <w:p w14:paraId="4D7E16C1" w14:textId="77777777" w:rsidR="0019485C" w:rsidRPr="007F28B7" w:rsidRDefault="004E5130">
      <w:pPr>
        <w:spacing w:after="120" w:line="240" w:lineRule="auto"/>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Hindajate poolt antud hinnetest arvestatakse keskmine ning korrutatakse osakaaluga. Seejärel liidetakse kokku koondhindeks.</w:t>
      </w:r>
    </w:p>
    <w:p w14:paraId="793BC705" w14:textId="1EB442E7" w:rsidR="0019485C" w:rsidRPr="007F28B7" w:rsidRDefault="004E5130">
      <w:pPr>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Koondhinne peab olema vähemalt 2,5 ja kriteerium nr 6 „Sündmuste korraldaja aktiivgrupi võimekus ja oskused, kompetentsid, sh sündmuse eelarve selgus ja teostatavus ning kaasfinantseerimise suutlikkus“ vähemalt 2,5.</w:t>
      </w:r>
    </w:p>
    <w:p w14:paraId="054F1404" w14:textId="77777777" w:rsidR="0019485C" w:rsidRPr="007F28B7" w:rsidRDefault="004E5130">
      <w:pPr>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Sündmuste puhul, kus üle poolte hindamiskomisjoni liikmetest leiab, et sündmus annab programmile juurde olulise lisaväärtuse, lisatakse koondhindele 0,3 punkti.</w:t>
      </w:r>
    </w:p>
    <w:p w14:paraId="45BF810B" w14:textId="77777777" w:rsidR="0019485C" w:rsidRPr="007F28B7" w:rsidRDefault="004E5130">
      <w:pPr>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lastRenderedPageBreak/>
        <w:t>Võrdsete koondpunktide puhul eelistatakse sündmust, mille hindamiskriteeriumi 1 „Lõuna-Eesti identiteedi, kultuuri- ja looduspärandi toetamine“ keskmine hinne on kõrgem. Kui ka need on võrdsed, valitakse sündmus komisjoni liikmete lihthäälteenamusel.</w:t>
      </w:r>
    </w:p>
    <w:p w14:paraId="5EC6678C" w14:textId="194DF1FE" w:rsidR="0019485C" w:rsidRPr="007F28B7" w:rsidRDefault="004E5130">
      <w:pPr>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 xml:space="preserve">Hindamisel tekkinud pingereas toetatakse kogukonnaprogrammi eelarve piires enim punkte saanud </w:t>
      </w:r>
      <w:r w:rsidR="0095660E">
        <w:rPr>
          <w:rFonts w:ascii="Montserrat" w:eastAsia="Montserrat" w:hAnsi="Montserrat" w:cs="Montserrat"/>
          <w:color w:val="000000" w:themeColor="text1"/>
          <w:sz w:val="24"/>
          <w:szCs w:val="24"/>
        </w:rPr>
        <w:t>taotlust.</w:t>
      </w:r>
    </w:p>
    <w:p w14:paraId="7C7F5CEB" w14:textId="705BD35A" w:rsidR="0019485C" w:rsidRPr="007F28B7" w:rsidRDefault="004E5130">
      <w:pPr>
        <w:jc w:val="both"/>
        <w:rPr>
          <w:rFonts w:ascii="Montserrat" w:eastAsia="Montserrat" w:hAnsi="Montserrat" w:cs="Montserrat"/>
          <w:color w:val="000000" w:themeColor="text1"/>
          <w:sz w:val="24"/>
          <w:szCs w:val="24"/>
        </w:rPr>
      </w:pPr>
      <w:r w:rsidRPr="007F28B7">
        <w:rPr>
          <w:rFonts w:ascii="Montserrat" w:eastAsia="Montserrat" w:hAnsi="Montserrat" w:cs="Montserrat"/>
          <w:color w:val="000000" w:themeColor="text1"/>
          <w:sz w:val="24"/>
          <w:szCs w:val="24"/>
        </w:rPr>
        <w:t>Vastavalt</w:t>
      </w:r>
      <w:r w:rsidR="0095660E">
        <w:rPr>
          <w:rFonts w:ascii="Montserrat" w:eastAsia="Montserrat" w:hAnsi="Montserrat" w:cs="Montserrat"/>
          <w:color w:val="000000" w:themeColor="text1"/>
          <w:sz w:val="24"/>
          <w:szCs w:val="24"/>
        </w:rPr>
        <w:t xml:space="preserve"> </w:t>
      </w:r>
      <w:r w:rsidRPr="007F28B7">
        <w:rPr>
          <w:rFonts w:ascii="Montserrat" w:eastAsia="Montserrat" w:hAnsi="Montserrat" w:cs="Montserrat"/>
          <w:color w:val="000000" w:themeColor="text1"/>
          <w:sz w:val="24"/>
          <w:szCs w:val="24"/>
        </w:rPr>
        <w:t xml:space="preserve">hindamiskomisjoni ettepanekule teeb </w:t>
      </w:r>
      <w:r w:rsidR="0095660E">
        <w:rPr>
          <w:rFonts w:ascii="Montserrat" w:eastAsia="Montserrat" w:hAnsi="Montserrat" w:cs="Montserrat"/>
          <w:color w:val="000000" w:themeColor="text1"/>
          <w:sz w:val="24"/>
          <w:szCs w:val="24"/>
        </w:rPr>
        <w:t>Tartumaa Arendusseltsi</w:t>
      </w:r>
      <w:r w:rsidRPr="007F28B7">
        <w:rPr>
          <w:rFonts w:ascii="Montserrat" w:eastAsia="Montserrat" w:hAnsi="Montserrat" w:cs="Montserrat"/>
          <w:color w:val="000000" w:themeColor="text1"/>
          <w:sz w:val="24"/>
          <w:szCs w:val="24"/>
        </w:rPr>
        <w:t xml:space="preserve"> juhatus otsuse toetatava sündmuse osas.</w:t>
      </w:r>
    </w:p>
    <w:p w14:paraId="3D1C9543" w14:textId="77777777" w:rsidR="0019485C" w:rsidRDefault="004E5130">
      <w:pPr>
        <w:pStyle w:val="Heading1"/>
        <w:rPr>
          <w:rFonts w:ascii="Montserrat" w:eastAsia="Montserrat" w:hAnsi="Montserrat" w:cs="Montserrat"/>
          <w:sz w:val="24"/>
          <w:szCs w:val="24"/>
        </w:rPr>
      </w:pPr>
      <w:r>
        <w:rPr>
          <w:rFonts w:ascii="Montserrat" w:eastAsia="Montserrat" w:hAnsi="Montserrat" w:cs="Montserrat"/>
          <w:sz w:val="24"/>
          <w:szCs w:val="24"/>
        </w:rPr>
        <w:t>SÜNDMUSE ETTEVALMISTUS</w:t>
      </w:r>
    </w:p>
    <w:p w14:paraId="3F0621FA" w14:textId="7177A94A" w:rsidR="009E00B1" w:rsidRPr="005240DC" w:rsidRDefault="00A76A54" w:rsidP="005240DC">
      <w:pPr>
        <w:jc w:val="both"/>
        <w:rPr>
          <w:rFonts w:ascii="Montserrat" w:eastAsia="Montserrat" w:hAnsi="Montserrat" w:cs="Montserrat"/>
          <w:color w:val="000000" w:themeColor="text1"/>
          <w:sz w:val="24"/>
          <w:szCs w:val="24"/>
        </w:rPr>
      </w:pPr>
      <w:r>
        <w:rPr>
          <w:rFonts w:ascii="Montserrat" w:eastAsia="Montserrat" w:hAnsi="Montserrat" w:cs="Montserrat"/>
          <w:color w:val="000000" w:themeColor="text1"/>
          <w:sz w:val="24"/>
          <w:szCs w:val="24"/>
        </w:rPr>
        <w:t xml:space="preserve">Sündmuse ettevalmistamiseks on võimalik kasutada mentortuge ja osaleda erinevatel koolitustel. </w:t>
      </w:r>
    </w:p>
    <w:p w14:paraId="7D2B96A4" w14:textId="391A3F96" w:rsidR="00A76A54" w:rsidRDefault="00A76A54" w:rsidP="00A76A54">
      <w:pPr>
        <w:pStyle w:val="Heading1"/>
        <w:rPr>
          <w:rFonts w:ascii="Montserrat" w:eastAsia="Montserrat" w:hAnsi="Montserrat" w:cs="Montserrat"/>
          <w:sz w:val="24"/>
          <w:szCs w:val="24"/>
        </w:rPr>
      </w:pPr>
      <w:r>
        <w:rPr>
          <w:rFonts w:ascii="Montserrat" w:eastAsia="Montserrat" w:hAnsi="Montserrat" w:cs="Montserrat"/>
          <w:sz w:val="24"/>
          <w:szCs w:val="24"/>
        </w:rPr>
        <w:t xml:space="preserve">NÕUSTAMINE, INFO ja KÜSIMUSED </w:t>
      </w:r>
    </w:p>
    <w:p w14:paraId="41687AD6" w14:textId="544D4DC2" w:rsidR="00A76A54" w:rsidRDefault="00A76A54" w:rsidP="00A76A54">
      <w:pPr>
        <w:rPr>
          <w:rFonts w:ascii="Helvetica" w:hAnsi="Helvetica"/>
          <w:sz w:val="24"/>
          <w:szCs w:val="24"/>
        </w:rPr>
      </w:pPr>
    </w:p>
    <w:p w14:paraId="5F18A70A" w14:textId="77777777" w:rsidR="00A76A54" w:rsidRPr="00A76A54" w:rsidRDefault="00A76A54" w:rsidP="005240DC">
      <w:pPr>
        <w:spacing w:after="0" w:line="240" w:lineRule="auto"/>
        <w:rPr>
          <w:rFonts w:ascii="Montserrat" w:eastAsia="Montserrat" w:hAnsi="Montserrat" w:cs="Montserrat"/>
          <w:color w:val="000000" w:themeColor="text1"/>
          <w:sz w:val="24"/>
          <w:szCs w:val="24"/>
        </w:rPr>
      </w:pPr>
      <w:r w:rsidRPr="00A76A54">
        <w:rPr>
          <w:rFonts w:ascii="Montserrat" w:eastAsia="Montserrat" w:hAnsi="Montserrat" w:cs="Montserrat"/>
          <w:color w:val="000000" w:themeColor="text1"/>
          <w:sz w:val="24"/>
          <w:szCs w:val="24"/>
        </w:rPr>
        <w:t xml:space="preserve">Kristiina </w:t>
      </w:r>
      <w:proofErr w:type="spellStart"/>
      <w:r w:rsidRPr="00A76A54">
        <w:rPr>
          <w:rFonts w:ascii="Montserrat" w:eastAsia="Montserrat" w:hAnsi="Montserrat" w:cs="Montserrat"/>
          <w:color w:val="000000" w:themeColor="text1"/>
          <w:sz w:val="24"/>
          <w:szCs w:val="24"/>
        </w:rPr>
        <w:t>Tammets</w:t>
      </w:r>
      <w:proofErr w:type="spellEnd"/>
    </w:p>
    <w:p w14:paraId="4FCD0BAA" w14:textId="77777777" w:rsidR="00A76A54" w:rsidRPr="00A76A54" w:rsidRDefault="00A76A54" w:rsidP="005240DC">
      <w:pPr>
        <w:spacing w:after="0" w:line="240" w:lineRule="auto"/>
        <w:rPr>
          <w:rFonts w:ascii="Montserrat" w:eastAsia="Montserrat" w:hAnsi="Montserrat" w:cs="Montserrat"/>
          <w:color w:val="000000" w:themeColor="text1"/>
          <w:sz w:val="24"/>
          <w:szCs w:val="24"/>
        </w:rPr>
      </w:pPr>
      <w:r w:rsidRPr="00A76A54">
        <w:rPr>
          <w:rFonts w:ascii="Montserrat" w:eastAsia="Montserrat" w:hAnsi="Montserrat" w:cs="Montserrat"/>
          <w:color w:val="000000" w:themeColor="text1"/>
          <w:sz w:val="24"/>
          <w:szCs w:val="24"/>
        </w:rPr>
        <w:t xml:space="preserve">Lõuna-Eesti kogukonnaprogrammi </w:t>
      </w:r>
      <w:proofErr w:type="spellStart"/>
      <w:r w:rsidRPr="00A76A54">
        <w:rPr>
          <w:rFonts w:ascii="Montserrat" w:eastAsia="Montserrat" w:hAnsi="Montserrat" w:cs="Montserrat"/>
          <w:color w:val="000000" w:themeColor="text1"/>
          <w:sz w:val="24"/>
          <w:szCs w:val="24"/>
        </w:rPr>
        <w:t>üldkoordinaator</w:t>
      </w:r>
      <w:proofErr w:type="spellEnd"/>
    </w:p>
    <w:p w14:paraId="08455B38" w14:textId="77777777" w:rsidR="00A76A54" w:rsidRPr="00A76A54" w:rsidRDefault="00A76A54" w:rsidP="005240DC">
      <w:pPr>
        <w:spacing w:after="0" w:line="240" w:lineRule="auto"/>
        <w:rPr>
          <w:rFonts w:ascii="Montserrat" w:eastAsia="Montserrat" w:hAnsi="Montserrat" w:cs="Montserrat"/>
          <w:color w:val="000000" w:themeColor="text1"/>
          <w:sz w:val="24"/>
          <w:szCs w:val="24"/>
        </w:rPr>
      </w:pPr>
      <w:r w:rsidRPr="00A76A54">
        <w:rPr>
          <w:rFonts w:ascii="Montserrat" w:eastAsia="Montserrat" w:hAnsi="Montserrat" w:cs="Montserrat"/>
          <w:color w:val="000000" w:themeColor="text1"/>
          <w:sz w:val="24"/>
          <w:szCs w:val="24"/>
        </w:rPr>
        <w:t>5340 9873</w:t>
      </w:r>
    </w:p>
    <w:p w14:paraId="67C91A61" w14:textId="77777777" w:rsidR="00A76A54" w:rsidRPr="00A76A54" w:rsidRDefault="00000000" w:rsidP="005240DC">
      <w:pPr>
        <w:spacing w:after="0" w:line="240" w:lineRule="auto"/>
        <w:rPr>
          <w:rFonts w:ascii="Montserrat" w:eastAsia="Montserrat" w:hAnsi="Montserrat" w:cs="Montserrat"/>
          <w:color w:val="0000FF"/>
          <w:sz w:val="24"/>
          <w:szCs w:val="24"/>
          <w:u w:val="single"/>
        </w:rPr>
      </w:pPr>
      <w:hyperlink r:id="rId10">
        <w:r w:rsidR="00A76A54" w:rsidRPr="00A76A54">
          <w:rPr>
            <w:rFonts w:ascii="Montserrat" w:eastAsia="Montserrat" w:hAnsi="Montserrat" w:cs="Montserrat"/>
            <w:color w:val="0000FF"/>
            <w:sz w:val="24"/>
            <w:szCs w:val="24"/>
            <w:u w:val="single"/>
          </w:rPr>
          <w:t>kristiina@tas.ee</w:t>
        </w:r>
      </w:hyperlink>
    </w:p>
    <w:p w14:paraId="1CE57B23" w14:textId="77777777" w:rsidR="005240DC" w:rsidRDefault="005240DC" w:rsidP="005240DC">
      <w:pPr>
        <w:rPr>
          <w:rFonts w:ascii="Montserrat" w:eastAsia="Montserrat" w:hAnsi="Montserrat" w:cs="Montserrat"/>
          <w:color w:val="000000" w:themeColor="text1"/>
          <w:sz w:val="24"/>
          <w:szCs w:val="24"/>
        </w:rPr>
      </w:pPr>
    </w:p>
    <w:p w14:paraId="3897D910" w14:textId="40732880" w:rsidR="00A76A54" w:rsidRPr="00A76A54" w:rsidRDefault="00A76A54" w:rsidP="005240DC">
      <w:pPr>
        <w:spacing w:after="0" w:line="240" w:lineRule="auto"/>
        <w:rPr>
          <w:rFonts w:ascii="Montserrat" w:eastAsia="Montserrat" w:hAnsi="Montserrat" w:cs="Montserrat"/>
          <w:color w:val="000000" w:themeColor="text1"/>
          <w:sz w:val="24"/>
          <w:szCs w:val="24"/>
        </w:rPr>
      </w:pPr>
      <w:r w:rsidRPr="00A76A54">
        <w:rPr>
          <w:rFonts w:ascii="Montserrat" w:eastAsia="Montserrat" w:hAnsi="Montserrat" w:cs="Montserrat"/>
          <w:color w:val="000000" w:themeColor="text1"/>
          <w:sz w:val="24"/>
          <w:szCs w:val="24"/>
        </w:rPr>
        <w:t>Kaisa Timmi</w:t>
      </w:r>
    </w:p>
    <w:p w14:paraId="346F01B2" w14:textId="77777777" w:rsidR="00A76A54" w:rsidRPr="00A76A54" w:rsidRDefault="00A76A54" w:rsidP="005240DC">
      <w:pPr>
        <w:spacing w:after="0" w:line="240" w:lineRule="auto"/>
        <w:rPr>
          <w:rFonts w:ascii="Montserrat" w:eastAsia="Montserrat" w:hAnsi="Montserrat" w:cs="Montserrat"/>
          <w:color w:val="000000" w:themeColor="text1"/>
          <w:sz w:val="24"/>
          <w:szCs w:val="24"/>
        </w:rPr>
      </w:pPr>
      <w:r w:rsidRPr="00A76A54">
        <w:rPr>
          <w:rFonts w:ascii="Montserrat" w:eastAsia="Montserrat" w:hAnsi="Montserrat" w:cs="Montserrat"/>
          <w:color w:val="000000" w:themeColor="text1"/>
          <w:sz w:val="24"/>
          <w:szCs w:val="24"/>
        </w:rPr>
        <w:t>5388 0054</w:t>
      </w:r>
    </w:p>
    <w:p w14:paraId="72674A25" w14:textId="2F9AE1E0" w:rsidR="00A76A54" w:rsidRPr="00A76A54" w:rsidRDefault="00000000" w:rsidP="005240DC">
      <w:pPr>
        <w:spacing w:after="0" w:line="240" w:lineRule="auto"/>
        <w:rPr>
          <w:rFonts w:ascii="Helvetica" w:eastAsia="Montserrat" w:hAnsi="Helvetica" w:cs="Montserrat"/>
          <w:color w:val="0000FF"/>
          <w:sz w:val="24"/>
          <w:szCs w:val="24"/>
        </w:rPr>
      </w:pPr>
      <w:hyperlink r:id="rId11">
        <w:r w:rsidR="00A76A54" w:rsidRPr="00A76A54">
          <w:rPr>
            <w:rFonts w:ascii="Montserrat" w:eastAsia="Montserrat" w:hAnsi="Montserrat" w:cs="Montserrat"/>
            <w:color w:val="0000FF"/>
            <w:sz w:val="24"/>
            <w:szCs w:val="24"/>
            <w:u w:val="single"/>
          </w:rPr>
          <w:t>kaisa@tas.ee</w:t>
        </w:r>
      </w:hyperlink>
      <w:r w:rsidR="00A76A54" w:rsidRPr="00A76A54">
        <w:rPr>
          <w:rFonts w:ascii="Montserrat" w:eastAsia="Montserrat" w:hAnsi="Montserrat" w:cs="Montserrat"/>
          <w:color w:val="0000FF"/>
          <w:sz w:val="24"/>
          <w:szCs w:val="24"/>
        </w:rPr>
        <w:t xml:space="preserve"> </w:t>
      </w:r>
    </w:p>
    <w:p w14:paraId="3FFA95A1" w14:textId="77777777" w:rsidR="0019485C" w:rsidRPr="00A76A54" w:rsidRDefault="0019485C" w:rsidP="00A76A54">
      <w:pPr>
        <w:rPr>
          <w:rFonts w:ascii="Montserrat" w:eastAsia="Montserrat" w:hAnsi="Montserrat" w:cs="Montserrat"/>
          <w:sz w:val="24"/>
          <w:szCs w:val="24"/>
        </w:rPr>
      </w:pPr>
    </w:p>
    <w:sectPr w:rsidR="0019485C" w:rsidRPr="00A76A54">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31FF" w14:textId="77777777" w:rsidR="00E362A7" w:rsidRDefault="00E362A7">
      <w:pPr>
        <w:spacing w:after="0" w:line="240" w:lineRule="auto"/>
      </w:pPr>
      <w:r>
        <w:separator/>
      </w:r>
    </w:p>
  </w:endnote>
  <w:endnote w:type="continuationSeparator" w:id="0">
    <w:p w14:paraId="3EA46F4B" w14:textId="77777777" w:rsidR="00E362A7" w:rsidRDefault="00E3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C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yne">
    <w:altName w:val="Calibri"/>
    <w:panose1 w:val="020B0604020202020204"/>
    <w:charset w:val="4D"/>
    <w:family w:val="auto"/>
    <w:pitch w:val="variable"/>
    <w:sig w:usb0="A00000EF" w:usb1="5000207B" w:usb2="00000000" w:usb3="00000000" w:csb0="00000093" w:csb1="00000000"/>
  </w:font>
  <w:font w:name="Montserrat">
    <w:panose1 w:val="00000500000000000000"/>
    <w:charset w:val="BA"/>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5179" w14:textId="77777777" w:rsidR="0019485C" w:rsidRDefault="004E5130">
    <w:pPr>
      <w:pBdr>
        <w:top w:val="nil"/>
        <w:left w:val="nil"/>
        <w:bottom w:val="nil"/>
        <w:right w:val="nil"/>
        <w:between w:val="nil"/>
      </w:pBdr>
      <w:tabs>
        <w:tab w:val="center" w:pos="4703"/>
        <w:tab w:val="right" w:pos="9406"/>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2938B2" w14:textId="77777777" w:rsidR="0019485C" w:rsidRDefault="0019485C">
    <w:pPr>
      <w:pBdr>
        <w:top w:val="nil"/>
        <w:left w:val="nil"/>
        <w:bottom w:val="nil"/>
        <w:right w:val="nil"/>
        <w:between w:val="nil"/>
      </w:pBdr>
      <w:tabs>
        <w:tab w:val="center" w:pos="4703"/>
        <w:tab w:val="right" w:pos="9406"/>
      </w:tabs>
      <w:spacing w:after="0" w:line="240" w:lineRule="auto"/>
      <w:ind w:right="360"/>
      <w:jc w:val="right"/>
      <w:rPr>
        <w:color w:val="000000"/>
      </w:rPr>
    </w:pPr>
  </w:p>
  <w:p w14:paraId="4870BECF" w14:textId="77777777" w:rsidR="0019485C" w:rsidRDefault="0019485C">
    <w:pPr>
      <w:pBdr>
        <w:top w:val="nil"/>
        <w:left w:val="nil"/>
        <w:bottom w:val="nil"/>
        <w:right w:val="nil"/>
        <w:between w:val="nil"/>
      </w:pBdr>
      <w:tabs>
        <w:tab w:val="center" w:pos="4703"/>
        <w:tab w:val="right" w:pos="940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62F9" w14:textId="77777777" w:rsidR="0019485C" w:rsidRDefault="004E5130">
    <w:pPr>
      <w:pBdr>
        <w:top w:val="nil"/>
        <w:left w:val="nil"/>
        <w:bottom w:val="nil"/>
        <w:right w:val="nil"/>
        <w:between w:val="nil"/>
      </w:pBdr>
      <w:tabs>
        <w:tab w:val="center" w:pos="4703"/>
        <w:tab w:val="right" w:pos="94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8B7">
      <w:rPr>
        <w:noProof/>
        <w:color w:val="000000"/>
      </w:rPr>
      <w:t>2</w:t>
    </w:r>
    <w:r>
      <w:rPr>
        <w:color w:val="000000"/>
      </w:rPr>
      <w:fldChar w:fldCharType="end"/>
    </w:r>
  </w:p>
  <w:p w14:paraId="6CA3C5DE" w14:textId="77777777" w:rsidR="0019485C" w:rsidRDefault="0019485C">
    <w:pPr>
      <w:pBdr>
        <w:top w:val="nil"/>
        <w:left w:val="nil"/>
        <w:bottom w:val="nil"/>
        <w:right w:val="nil"/>
        <w:between w:val="nil"/>
      </w:pBdr>
      <w:tabs>
        <w:tab w:val="center" w:pos="4703"/>
        <w:tab w:val="right" w:pos="9406"/>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3961" w14:textId="77777777" w:rsidR="0019485C" w:rsidRDefault="004E5130">
    <w:pPr>
      <w:pBdr>
        <w:top w:val="nil"/>
        <w:left w:val="nil"/>
        <w:bottom w:val="nil"/>
        <w:right w:val="nil"/>
        <w:between w:val="nil"/>
      </w:pBdr>
      <w:tabs>
        <w:tab w:val="center" w:pos="4703"/>
        <w:tab w:val="right" w:pos="9406"/>
      </w:tabs>
      <w:spacing w:after="0" w:line="240" w:lineRule="auto"/>
      <w:rPr>
        <w:color w:val="000000"/>
      </w:rPr>
    </w:pPr>
    <w:r>
      <w:rPr>
        <w:noProof/>
        <w:color w:val="000000"/>
      </w:rPr>
      <w:drawing>
        <wp:inline distT="0" distB="0" distL="0" distR="0" wp14:anchorId="46FDD7B2" wp14:editId="13489D3C">
          <wp:extent cx="1371830" cy="226521"/>
          <wp:effectExtent l="0" t="0" r="0" b="0"/>
          <wp:docPr id="25" name="image4.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with medium confidence"/>
                  <pic:cNvPicPr preferRelativeResize="0"/>
                </pic:nvPicPr>
                <pic:blipFill>
                  <a:blip r:embed="rId1"/>
                  <a:srcRect/>
                  <a:stretch>
                    <a:fillRect/>
                  </a:stretch>
                </pic:blipFill>
                <pic:spPr>
                  <a:xfrm>
                    <a:off x="0" y="0"/>
                    <a:ext cx="1371830" cy="226521"/>
                  </a:xfrm>
                  <a:prstGeom prst="rect">
                    <a:avLst/>
                  </a:prstGeom>
                  <a:ln/>
                </pic:spPr>
              </pic:pic>
            </a:graphicData>
          </a:graphic>
        </wp:inline>
      </w:drawing>
    </w:r>
    <w:r>
      <w:rPr>
        <w:noProof/>
        <w:color w:val="000000"/>
      </w:rPr>
      <w:drawing>
        <wp:inline distT="0" distB="0" distL="0" distR="0" wp14:anchorId="63C4CAE8" wp14:editId="0FA90465">
          <wp:extent cx="1086956" cy="245380"/>
          <wp:effectExtent l="0" t="0" r="0" b="0"/>
          <wp:docPr id="24" name="image5.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Logo&#10;&#10;Description automatically generated"/>
                  <pic:cNvPicPr preferRelativeResize="0"/>
                </pic:nvPicPr>
                <pic:blipFill>
                  <a:blip r:embed="rId2"/>
                  <a:srcRect/>
                  <a:stretch>
                    <a:fillRect/>
                  </a:stretch>
                </pic:blipFill>
                <pic:spPr>
                  <a:xfrm>
                    <a:off x="0" y="0"/>
                    <a:ext cx="1086956" cy="245380"/>
                  </a:xfrm>
                  <a:prstGeom prst="rect">
                    <a:avLst/>
                  </a:prstGeom>
                  <a:ln/>
                </pic:spPr>
              </pic:pic>
            </a:graphicData>
          </a:graphic>
        </wp:inline>
      </w:drawing>
    </w:r>
    <w:r>
      <w:rPr>
        <w:noProof/>
        <w:color w:val="000000"/>
      </w:rPr>
      <w:drawing>
        <wp:inline distT="0" distB="0" distL="0" distR="0" wp14:anchorId="621A4F8F" wp14:editId="6041930A">
          <wp:extent cx="553156" cy="485423"/>
          <wp:effectExtent l="0" t="0" r="5715" b="0"/>
          <wp:docPr id="27"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3"/>
                  <a:srcRect/>
                  <a:stretch>
                    <a:fillRect/>
                  </a:stretch>
                </pic:blipFill>
                <pic:spPr>
                  <a:xfrm>
                    <a:off x="0" y="0"/>
                    <a:ext cx="560440" cy="491815"/>
                  </a:xfrm>
                  <a:prstGeom prst="rect">
                    <a:avLst/>
                  </a:prstGeom>
                  <a:ln/>
                </pic:spPr>
              </pic:pic>
            </a:graphicData>
          </a:graphic>
        </wp:inline>
      </w:drawing>
    </w:r>
    <w:r>
      <w:rPr>
        <w:noProof/>
        <w:color w:val="000000"/>
      </w:rPr>
      <w:drawing>
        <wp:inline distT="0" distB="0" distL="0" distR="0" wp14:anchorId="761D4FC3" wp14:editId="13D546C6">
          <wp:extent cx="541867" cy="349673"/>
          <wp:effectExtent l="0" t="0" r="4445" b="6350"/>
          <wp:docPr id="26"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4"/>
                  <a:srcRect/>
                  <a:stretch>
                    <a:fillRect/>
                  </a:stretch>
                </pic:blipFill>
                <pic:spPr>
                  <a:xfrm>
                    <a:off x="0" y="0"/>
                    <a:ext cx="547307" cy="353183"/>
                  </a:xfrm>
                  <a:prstGeom prst="rect">
                    <a:avLst/>
                  </a:prstGeom>
                  <a:ln/>
                </pic:spPr>
              </pic:pic>
            </a:graphicData>
          </a:graphic>
        </wp:inline>
      </w:drawing>
    </w:r>
    <w:r>
      <w:rPr>
        <w:noProof/>
        <w:color w:val="000000"/>
      </w:rPr>
      <w:drawing>
        <wp:inline distT="0" distB="0" distL="0" distR="0" wp14:anchorId="0BBEBB60" wp14:editId="22B329AE">
          <wp:extent cx="925689" cy="394406"/>
          <wp:effectExtent l="0" t="0" r="1905" b="0"/>
          <wp:docPr id="29" name="image7.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Text&#10;&#10;Description automatically generated"/>
                  <pic:cNvPicPr preferRelativeResize="0"/>
                </pic:nvPicPr>
                <pic:blipFill>
                  <a:blip r:embed="rId5"/>
                  <a:srcRect/>
                  <a:stretch>
                    <a:fillRect/>
                  </a:stretch>
                </pic:blipFill>
                <pic:spPr>
                  <a:xfrm>
                    <a:off x="0" y="0"/>
                    <a:ext cx="928145" cy="395453"/>
                  </a:xfrm>
                  <a:prstGeom prst="rect">
                    <a:avLst/>
                  </a:prstGeom>
                  <a:ln/>
                </pic:spPr>
              </pic:pic>
            </a:graphicData>
          </a:graphic>
        </wp:inline>
      </w:drawing>
    </w:r>
    <w:r>
      <w:rPr>
        <w:noProof/>
        <w:color w:val="000000"/>
      </w:rPr>
      <w:drawing>
        <wp:inline distT="0" distB="0" distL="0" distR="0" wp14:anchorId="06D44192" wp14:editId="17E42A66">
          <wp:extent cx="1200667" cy="440648"/>
          <wp:effectExtent l="0" t="0" r="0" b="0"/>
          <wp:docPr id="28" name="image1.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iagram&#10;&#10;Description automatically generated"/>
                  <pic:cNvPicPr preferRelativeResize="0"/>
                </pic:nvPicPr>
                <pic:blipFill>
                  <a:blip r:embed="rId6"/>
                  <a:srcRect/>
                  <a:stretch>
                    <a:fillRect/>
                  </a:stretch>
                </pic:blipFill>
                <pic:spPr>
                  <a:xfrm>
                    <a:off x="0" y="0"/>
                    <a:ext cx="1200667" cy="44064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6DD2" w14:textId="77777777" w:rsidR="00E362A7" w:rsidRDefault="00E362A7">
      <w:pPr>
        <w:spacing w:after="0" w:line="240" w:lineRule="auto"/>
      </w:pPr>
      <w:r>
        <w:separator/>
      </w:r>
    </w:p>
  </w:footnote>
  <w:footnote w:type="continuationSeparator" w:id="0">
    <w:p w14:paraId="38AB3FBE" w14:textId="77777777" w:rsidR="00E362A7" w:rsidRDefault="00E362A7">
      <w:pPr>
        <w:spacing w:after="0" w:line="240" w:lineRule="auto"/>
      </w:pPr>
      <w:r>
        <w:continuationSeparator/>
      </w:r>
    </w:p>
  </w:footnote>
  <w:footnote w:id="1">
    <w:p w14:paraId="273B52EA" w14:textId="77777777" w:rsidR="0019485C" w:rsidRDefault="004E5130">
      <w:pPr>
        <w:pBdr>
          <w:top w:val="nil"/>
          <w:left w:val="nil"/>
          <w:bottom w:val="nil"/>
          <w:right w:val="nil"/>
          <w:between w:val="nil"/>
        </w:pBdr>
        <w:spacing w:after="0" w:line="240" w:lineRule="auto"/>
        <w:rPr>
          <w:rFonts w:ascii="Montserrat" w:eastAsia="Montserrat" w:hAnsi="Montserrat" w:cs="Montserrat"/>
          <w:color w:val="000000"/>
          <w:sz w:val="18"/>
          <w:szCs w:val="18"/>
        </w:rPr>
      </w:pPr>
      <w:r>
        <w:rPr>
          <w:rStyle w:val="FootnoteReference"/>
        </w:rPr>
        <w:footnoteRef/>
      </w:r>
      <w:r>
        <w:rPr>
          <w:rFonts w:ascii="Montserrat" w:eastAsia="Montserrat" w:hAnsi="Montserrat" w:cs="Montserrat"/>
          <w:color w:val="000000"/>
          <w:sz w:val="20"/>
          <w:szCs w:val="20"/>
        </w:rPr>
        <w:t xml:space="preserve"> </w:t>
      </w:r>
      <w:r>
        <w:rPr>
          <w:rFonts w:ascii="Montserrat" w:eastAsia="Montserrat" w:hAnsi="Montserrat" w:cs="Montserrat"/>
          <w:color w:val="000000"/>
          <w:sz w:val="18"/>
          <w:szCs w:val="18"/>
          <w:highlight w:val="white"/>
        </w:rPr>
        <w:t xml:space="preserve">Ei toetata </w:t>
      </w:r>
      <w:proofErr w:type="spellStart"/>
      <w:r>
        <w:rPr>
          <w:rFonts w:ascii="Montserrat" w:eastAsia="Montserrat" w:hAnsi="Montserrat" w:cs="Montserrat"/>
          <w:color w:val="000000"/>
          <w:sz w:val="18"/>
          <w:szCs w:val="18"/>
          <w:highlight w:val="white"/>
        </w:rPr>
        <w:t>Leader</w:t>
      </w:r>
      <w:proofErr w:type="spellEnd"/>
      <w:r>
        <w:rPr>
          <w:rFonts w:ascii="Montserrat" w:eastAsia="Montserrat" w:hAnsi="Montserrat" w:cs="Montserrat"/>
          <w:color w:val="000000"/>
          <w:sz w:val="18"/>
          <w:szCs w:val="18"/>
          <w:highlight w:val="white"/>
        </w:rPr>
        <w:t xml:space="preserve"> määruses (§ 31, </w:t>
      </w:r>
      <w:hyperlink r:id="rId1">
        <w:r>
          <w:rPr>
            <w:rFonts w:ascii="Montserrat" w:eastAsia="Montserrat" w:hAnsi="Montserrat" w:cs="Montserrat"/>
            <w:color w:val="0563C1"/>
            <w:sz w:val="18"/>
            <w:szCs w:val="18"/>
            <w:u w:val="single"/>
          </w:rPr>
          <w:t>https://www.riigiteataja.ee/akt/131102017018?leiaKehtiv</w:t>
        </w:r>
      </w:hyperlink>
      <w:r>
        <w:rPr>
          <w:rFonts w:ascii="Montserrat" w:eastAsia="Montserrat" w:hAnsi="Montserrat" w:cs="Montserrat"/>
          <w:color w:val="000000"/>
          <w:sz w:val="18"/>
          <w:szCs w:val="18"/>
        </w:rPr>
        <w:t xml:space="preserve">) ja Tartu Linnavolikogu määruses (§ 5, </w:t>
      </w:r>
      <w:hyperlink r:id="rId2">
        <w:r>
          <w:rPr>
            <w:rFonts w:ascii="Montserrat" w:eastAsia="Montserrat" w:hAnsi="Montserrat" w:cs="Montserrat"/>
            <w:color w:val="0563C1"/>
            <w:sz w:val="18"/>
            <w:szCs w:val="18"/>
            <w:u w:val="single"/>
          </w:rPr>
          <w:t>https://www.riigiteataja.ee/akt/427122021004</w:t>
        </w:r>
      </w:hyperlink>
      <w:r>
        <w:rPr>
          <w:rFonts w:ascii="Montserrat" w:eastAsia="Montserrat" w:hAnsi="Montserrat" w:cs="Montserrat"/>
          <w:color w:val="000000"/>
          <w:sz w:val="18"/>
          <w:szCs w:val="18"/>
        </w:rPr>
        <w:t>) nimetatud mitteabikõlblikke kulusid.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DC63" w14:textId="77777777" w:rsidR="0019485C" w:rsidRDefault="0019485C">
    <w:pPr>
      <w:pBdr>
        <w:top w:val="nil"/>
        <w:left w:val="nil"/>
        <w:bottom w:val="nil"/>
        <w:right w:val="nil"/>
        <w:between w:val="nil"/>
      </w:pBdr>
      <w:tabs>
        <w:tab w:val="center" w:pos="4703"/>
        <w:tab w:val="right" w:pos="94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7854" w14:textId="77777777" w:rsidR="0019485C" w:rsidRDefault="004E5130">
    <w:pPr>
      <w:pBdr>
        <w:top w:val="nil"/>
        <w:left w:val="nil"/>
        <w:bottom w:val="nil"/>
        <w:right w:val="nil"/>
        <w:between w:val="nil"/>
      </w:pBdr>
      <w:tabs>
        <w:tab w:val="center" w:pos="4703"/>
        <w:tab w:val="right" w:pos="9406"/>
      </w:tabs>
      <w:spacing w:after="0" w:line="240" w:lineRule="auto"/>
      <w:jc w:val="right"/>
      <w:rPr>
        <w:color w:val="000000"/>
      </w:rPr>
    </w:pPr>
    <w:r>
      <w:rPr>
        <w:noProof/>
        <w:color w:val="000000"/>
      </w:rPr>
      <w:drawing>
        <wp:inline distT="0" distB="0" distL="0" distR="0" wp14:anchorId="0FA22DEF" wp14:editId="5BC8F222">
          <wp:extent cx="2410138" cy="873781"/>
          <wp:effectExtent l="0" t="0" r="0" b="0"/>
          <wp:docPr id="23" name="image6.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png" descr="Shape&#10;&#10;Description automatically generated with medium confidence"/>
                  <pic:cNvPicPr preferRelativeResize="0"/>
                </pic:nvPicPr>
                <pic:blipFill>
                  <a:blip r:embed="rId1"/>
                  <a:srcRect/>
                  <a:stretch>
                    <a:fillRect/>
                  </a:stretch>
                </pic:blipFill>
                <pic:spPr>
                  <a:xfrm>
                    <a:off x="0" y="0"/>
                    <a:ext cx="2410138" cy="8737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07C"/>
    <w:multiLevelType w:val="multilevel"/>
    <w:tmpl w:val="6C14A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9F691D"/>
    <w:multiLevelType w:val="multilevel"/>
    <w:tmpl w:val="8DD251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C950F7"/>
    <w:multiLevelType w:val="multilevel"/>
    <w:tmpl w:val="BFCC79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1A15DC"/>
    <w:multiLevelType w:val="multilevel"/>
    <w:tmpl w:val="91A29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3456094">
    <w:abstractNumId w:val="3"/>
  </w:num>
  <w:num w:numId="2" w16cid:durableId="1266496082">
    <w:abstractNumId w:val="1"/>
  </w:num>
  <w:num w:numId="3" w16cid:durableId="1413039559">
    <w:abstractNumId w:val="2"/>
  </w:num>
  <w:num w:numId="4" w16cid:durableId="66004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C"/>
    <w:rsid w:val="0019485C"/>
    <w:rsid w:val="002720BF"/>
    <w:rsid w:val="00463444"/>
    <w:rsid w:val="004E5130"/>
    <w:rsid w:val="005240DC"/>
    <w:rsid w:val="007F28B7"/>
    <w:rsid w:val="008416BE"/>
    <w:rsid w:val="0095660E"/>
    <w:rsid w:val="009E00B1"/>
    <w:rsid w:val="00A0649C"/>
    <w:rsid w:val="00A76A54"/>
    <w:rsid w:val="00B06B8D"/>
    <w:rsid w:val="00B45250"/>
    <w:rsid w:val="00CC3AA3"/>
    <w:rsid w:val="00E362A7"/>
    <w:rsid w:val="00F20E31"/>
    <w:rsid w:val="00F32FA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EB69"/>
  <w15:docId w15:val="{2FD7450F-BDA3-9D4D-AD9C-DB6993ED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2A"/>
  </w:style>
  <w:style w:type="paragraph" w:styleId="Heading1">
    <w:name w:val="heading 1"/>
    <w:basedOn w:val="Normal"/>
    <w:next w:val="Normal"/>
    <w:link w:val="Heading1Char"/>
    <w:uiPriority w:val="9"/>
    <w:qFormat/>
    <w:rsid w:val="00876E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C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FD2D3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D2D3F"/>
  </w:style>
  <w:style w:type="paragraph" w:styleId="Footer">
    <w:name w:val="footer"/>
    <w:basedOn w:val="Normal"/>
    <w:link w:val="FooterChar"/>
    <w:uiPriority w:val="99"/>
    <w:unhideWhenUsed/>
    <w:rsid w:val="00FD2D3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D2D3F"/>
  </w:style>
  <w:style w:type="table" w:styleId="TableGrid">
    <w:name w:val="Table Grid"/>
    <w:basedOn w:val="TableNormal"/>
    <w:uiPriority w:val="39"/>
    <w:rsid w:val="007A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9DD"/>
    <w:rPr>
      <w:sz w:val="16"/>
      <w:szCs w:val="16"/>
    </w:rPr>
  </w:style>
  <w:style w:type="paragraph" w:styleId="CommentText">
    <w:name w:val="annotation text"/>
    <w:basedOn w:val="Normal"/>
    <w:link w:val="CommentTextChar"/>
    <w:uiPriority w:val="99"/>
    <w:semiHidden/>
    <w:unhideWhenUsed/>
    <w:rsid w:val="001229DD"/>
    <w:pPr>
      <w:spacing w:line="240" w:lineRule="auto"/>
    </w:pPr>
    <w:rPr>
      <w:sz w:val="20"/>
      <w:szCs w:val="20"/>
    </w:rPr>
  </w:style>
  <w:style w:type="character" w:customStyle="1" w:styleId="CommentTextChar">
    <w:name w:val="Comment Text Char"/>
    <w:basedOn w:val="DefaultParagraphFont"/>
    <w:link w:val="CommentText"/>
    <w:uiPriority w:val="99"/>
    <w:semiHidden/>
    <w:rsid w:val="001229DD"/>
    <w:rPr>
      <w:sz w:val="20"/>
      <w:szCs w:val="20"/>
    </w:rPr>
  </w:style>
  <w:style w:type="paragraph" w:styleId="CommentSubject">
    <w:name w:val="annotation subject"/>
    <w:basedOn w:val="CommentText"/>
    <w:next w:val="CommentText"/>
    <w:link w:val="CommentSubjectChar"/>
    <w:uiPriority w:val="99"/>
    <w:semiHidden/>
    <w:unhideWhenUsed/>
    <w:rsid w:val="001229DD"/>
    <w:rPr>
      <w:b/>
      <w:bCs/>
    </w:rPr>
  </w:style>
  <w:style w:type="character" w:customStyle="1" w:styleId="CommentSubjectChar">
    <w:name w:val="Comment Subject Char"/>
    <w:basedOn w:val="CommentTextChar"/>
    <w:link w:val="CommentSubject"/>
    <w:uiPriority w:val="99"/>
    <w:semiHidden/>
    <w:rsid w:val="001229DD"/>
    <w:rPr>
      <w:b/>
      <w:bCs/>
      <w:sz w:val="20"/>
      <w:szCs w:val="20"/>
    </w:rPr>
  </w:style>
  <w:style w:type="paragraph" w:styleId="Revision">
    <w:name w:val="Revision"/>
    <w:hidden/>
    <w:uiPriority w:val="99"/>
    <w:semiHidden/>
    <w:rsid w:val="001229DD"/>
    <w:pPr>
      <w:spacing w:after="0" w:line="240" w:lineRule="auto"/>
    </w:pPr>
  </w:style>
  <w:style w:type="paragraph" w:styleId="ListParagraph">
    <w:name w:val="List Paragraph"/>
    <w:basedOn w:val="Normal"/>
    <w:uiPriority w:val="34"/>
    <w:qFormat/>
    <w:rsid w:val="008F2720"/>
    <w:pPr>
      <w:ind w:left="720"/>
      <w:contextualSpacing/>
    </w:pPr>
  </w:style>
  <w:style w:type="character" w:customStyle="1" w:styleId="Heading1Char">
    <w:name w:val="Heading 1 Char"/>
    <w:basedOn w:val="DefaultParagraphFont"/>
    <w:link w:val="Heading1"/>
    <w:uiPriority w:val="9"/>
    <w:rsid w:val="00876E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A6F24"/>
    <w:rPr>
      <w:color w:val="0563C1" w:themeColor="hyperlink"/>
      <w:u w:val="single"/>
    </w:rPr>
  </w:style>
  <w:style w:type="character" w:customStyle="1" w:styleId="Lahendamatamainimine1">
    <w:name w:val="Lahendamata mainimine1"/>
    <w:basedOn w:val="DefaultParagraphFont"/>
    <w:uiPriority w:val="99"/>
    <w:semiHidden/>
    <w:unhideWhenUsed/>
    <w:rsid w:val="006A6F24"/>
    <w:rPr>
      <w:color w:val="605E5C"/>
      <w:shd w:val="clear" w:color="auto" w:fill="E1DFDD"/>
    </w:rPr>
  </w:style>
  <w:style w:type="character" w:customStyle="1" w:styleId="Heading2Char">
    <w:name w:val="Heading 2 Char"/>
    <w:basedOn w:val="DefaultParagraphFont"/>
    <w:link w:val="Heading2"/>
    <w:uiPriority w:val="9"/>
    <w:rsid w:val="000C2CE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62CC7"/>
    <w:pPr>
      <w:spacing w:after="0"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F62CC7"/>
    <w:rPr>
      <w:rFonts w:ascii="Lucida Grande CE" w:hAnsi="Lucida Grande CE"/>
      <w:sz w:val="18"/>
      <w:szCs w:val="18"/>
    </w:rPr>
  </w:style>
  <w:style w:type="character" w:styleId="FollowedHyperlink">
    <w:name w:val="FollowedHyperlink"/>
    <w:basedOn w:val="DefaultParagraphFont"/>
    <w:uiPriority w:val="99"/>
    <w:semiHidden/>
    <w:unhideWhenUsed/>
    <w:rsid w:val="003449C1"/>
    <w:rPr>
      <w:color w:val="954F72" w:themeColor="followedHyperlink"/>
      <w:u w:val="single"/>
    </w:rPr>
  </w:style>
  <w:style w:type="character" w:styleId="PageNumber">
    <w:name w:val="page number"/>
    <w:basedOn w:val="DefaultParagraphFont"/>
    <w:uiPriority w:val="99"/>
    <w:semiHidden/>
    <w:unhideWhenUsed/>
    <w:rsid w:val="00320B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character" w:styleId="UnresolvedMention">
    <w:name w:val="Unresolved Mention"/>
    <w:basedOn w:val="DefaultParagraphFont"/>
    <w:uiPriority w:val="99"/>
    <w:semiHidden/>
    <w:unhideWhenUsed/>
    <w:rsid w:val="00B343A9"/>
    <w:rPr>
      <w:color w:val="605E5C"/>
      <w:shd w:val="clear" w:color="auto" w:fill="E1DFDD"/>
    </w:rPr>
  </w:style>
  <w:style w:type="table" w:customStyle="1" w:styleId="a4">
    <w:basedOn w:val="TableNormal1"/>
    <w:pPr>
      <w:spacing w:after="0" w:line="240" w:lineRule="auto"/>
    </w:pPr>
    <w:tblPr>
      <w:tblStyleRowBandSize w:val="1"/>
      <w:tblStyleColBandSize w:val="1"/>
      <w:tblCellMar>
        <w:left w:w="70" w:type="dxa"/>
        <w:right w:w="70" w:type="dxa"/>
      </w:tblCellMar>
    </w:tblPr>
  </w:style>
  <w:style w:type="table" w:customStyle="1" w:styleId="a5">
    <w:basedOn w:val="TableNormal1"/>
    <w:pPr>
      <w:spacing w:after="0" w:line="240" w:lineRule="auto"/>
    </w:pPr>
    <w:tblPr>
      <w:tblStyleRowBandSize w:val="1"/>
      <w:tblStyleColBandSize w:val="1"/>
      <w:tblCellMar>
        <w:left w:w="70" w:type="dxa"/>
        <w:right w:w="70" w:type="dxa"/>
      </w:tblCellMar>
    </w:tblPr>
  </w:style>
  <w:style w:type="table" w:customStyle="1" w:styleId="a6">
    <w:basedOn w:val="TableNormal1"/>
    <w:pPr>
      <w:spacing w:after="0" w:line="240" w:lineRule="auto"/>
    </w:pPr>
    <w:tblPr>
      <w:tblStyleRowBandSize w:val="1"/>
      <w:tblStyleColBandSize w:val="1"/>
      <w:tblCellMar>
        <w:left w:w="70" w:type="dxa"/>
        <w:right w:w="70" w:type="dxa"/>
      </w:tblCellMar>
    </w:tblPr>
  </w:style>
  <w:style w:type="table" w:customStyle="1" w:styleId="a7">
    <w:basedOn w:val="TableNormal1"/>
    <w:pPr>
      <w:spacing w:after="0" w:line="240" w:lineRule="auto"/>
    </w:pPr>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607DF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82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4A"/>
    <w:rPr>
      <w:sz w:val="20"/>
      <w:szCs w:val="20"/>
    </w:rPr>
  </w:style>
  <w:style w:type="character" w:styleId="FootnoteReference">
    <w:name w:val="footnote reference"/>
    <w:basedOn w:val="DefaultParagraphFont"/>
    <w:uiPriority w:val="99"/>
    <w:semiHidden/>
    <w:unhideWhenUsed/>
    <w:rsid w:val="0008244A"/>
    <w:rPr>
      <w:vertAlign w:val="superscript"/>
    </w:r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70" w:type="dxa"/>
        <w:right w:w="70" w:type="dxa"/>
      </w:tblCellMar>
    </w:tblPr>
  </w:style>
  <w:style w:type="table" w:customStyle="1" w:styleId="ac">
    <w:basedOn w:val="TableNormal"/>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rtu2024.ee/ellujaamise-kunst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sa@tas.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ristiina@tas.ee" TargetMode="External"/><Relationship Id="rId4" Type="http://schemas.openxmlformats.org/officeDocument/2006/relationships/settings" Target="settings.xml"/><Relationship Id="rId9" Type="http://schemas.openxmlformats.org/officeDocument/2006/relationships/hyperlink" Target="https://tartu2024.ee/ellujaamise-kunstid/keskkonnajuhen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427122021004" TargetMode="External"/><Relationship Id="rId1" Type="http://schemas.openxmlformats.org/officeDocument/2006/relationships/hyperlink" Target="https://www.riigiteataja.ee/akt/131102017018?leiaKehti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ws2Akyh84QThDIxcCe3Rb80hw==">AMUW2mXlvy/Dbu8R1W1uLhZjsIIy5sl6SEHuUmnnjz+zwVdmI+3EOfuZehqfsG4uFabrYLSdcJhQ14gNC8Bc1upHc3IC7jyxb/nOxzOueqT1UzvleebQGlQ=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1170</Words>
  <Characters>6669</Characters>
  <Application>Microsoft Office Word</Application>
  <DocSecurity>0</DocSecurity>
  <Lines>55</Lines>
  <Paragraphs>15</Paragraphs>
  <ScaleCrop>false</ScaleCrop>
  <Company>Tartumaa Arendusselts</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Ivask</dc:creator>
  <cp:lastModifiedBy>Kristiina Tammets</cp:lastModifiedBy>
  <cp:revision>8</cp:revision>
  <dcterms:created xsi:type="dcterms:W3CDTF">2023-02-14T07:04:00Z</dcterms:created>
  <dcterms:modified xsi:type="dcterms:W3CDTF">2023-02-14T13:41:00Z</dcterms:modified>
</cp:coreProperties>
</file>